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FAFA" w14:textId="3B4E7698" w:rsidR="00A55ABF" w:rsidRPr="00D61AFE" w:rsidRDefault="00A55ABF" w:rsidP="00AF4242">
      <w:pPr>
        <w:pStyle w:val="Textocomentario1"/>
        <w:rPr>
          <w:rFonts w:ascii="Verdana" w:hAnsi="Verdana" w:cs="Arial"/>
          <w:sz w:val="22"/>
          <w:szCs w:val="22"/>
        </w:rPr>
      </w:pPr>
      <w:r w:rsidRPr="00D61AFE">
        <w:rPr>
          <w:rFonts w:ascii="Verdana" w:hAnsi="Verdana" w:cs="Arial"/>
          <w:sz w:val="22"/>
          <w:szCs w:val="22"/>
        </w:rPr>
        <w:t>Bogotá, D.C.</w:t>
      </w:r>
    </w:p>
    <w:p w14:paraId="62902DE6" w14:textId="77777777" w:rsidR="00A55ABF" w:rsidRPr="00D61AFE" w:rsidRDefault="00A55ABF" w:rsidP="00AF4242">
      <w:pPr>
        <w:pStyle w:val="Textocomentario1"/>
        <w:rPr>
          <w:rFonts w:ascii="Arial" w:hAnsi="Arial" w:cs="Arial"/>
          <w:sz w:val="22"/>
          <w:szCs w:val="22"/>
        </w:rPr>
      </w:pPr>
    </w:p>
    <w:p w14:paraId="5AB47C05" w14:textId="77777777" w:rsidR="004D3BF3" w:rsidRPr="00D61AFE" w:rsidRDefault="004D3BF3" w:rsidP="00AF4242">
      <w:pPr>
        <w:pStyle w:val="Textocomentario1"/>
        <w:contextualSpacing/>
        <w:rPr>
          <w:rFonts w:ascii="Verdana" w:hAnsi="Verdana" w:cs="Arial"/>
          <w:sz w:val="22"/>
          <w:szCs w:val="22"/>
        </w:rPr>
      </w:pPr>
    </w:p>
    <w:p w14:paraId="2B542CD0" w14:textId="1B6B7AA9" w:rsidR="004D3BF3" w:rsidRPr="00D61AFE" w:rsidRDefault="004D3BF3" w:rsidP="00AF4242">
      <w:pPr>
        <w:contextualSpacing/>
        <w:jc w:val="both"/>
        <w:rPr>
          <w:rFonts w:ascii="Verdana" w:hAnsi="Verdana" w:cs="Arial"/>
        </w:rPr>
      </w:pPr>
      <w:r w:rsidRPr="00D61AFE">
        <w:rPr>
          <w:rFonts w:ascii="Verdana" w:hAnsi="Verdana" w:cs="Arial"/>
        </w:rPr>
        <w:t>Señor</w:t>
      </w:r>
      <w:r w:rsidR="0062083E" w:rsidRPr="00D61AFE">
        <w:rPr>
          <w:rFonts w:ascii="Verdana" w:hAnsi="Verdana" w:cs="Arial"/>
        </w:rPr>
        <w:t>es</w:t>
      </w:r>
    </w:p>
    <w:p w14:paraId="06BB4DA2" w14:textId="6AF22F54" w:rsidR="0062083E" w:rsidRPr="00D61AFE" w:rsidRDefault="00217C70" w:rsidP="00AF4242">
      <w:pPr>
        <w:jc w:val="both"/>
        <w:rPr>
          <w:rFonts w:ascii="Verdana" w:hAnsi="Verdana" w:cs="Arial"/>
          <w:b/>
          <w:bCs/>
        </w:rPr>
      </w:pPr>
      <w:r w:rsidRPr="00D61AFE">
        <w:rPr>
          <w:rFonts w:ascii="Verdana" w:hAnsi="Verdana" w:cs="Arial"/>
          <w:b/>
          <w:bCs/>
        </w:rPr>
        <w:t>ALCALDÍA DE VILLAVICENCIO</w:t>
      </w:r>
    </w:p>
    <w:p w14:paraId="098F2C3E" w14:textId="4B288E23" w:rsidR="00682DCA" w:rsidRPr="00D61AFE" w:rsidRDefault="0062083E" w:rsidP="00AF4242">
      <w:pPr>
        <w:jc w:val="both"/>
        <w:rPr>
          <w:rFonts w:ascii="Verdana" w:hAnsi="Verdana" w:cs="Arial"/>
          <w:bCs/>
          <w:lang w:val="es-CO"/>
        </w:rPr>
      </w:pPr>
      <w:r w:rsidRPr="00D61AFE">
        <w:rPr>
          <w:rFonts w:ascii="Verdana" w:hAnsi="Verdana" w:cs="Arial"/>
          <w:bCs/>
          <w:lang w:val="es-CO"/>
        </w:rPr>
        <w:t>Señor</w:t>
      </w:r>
    </w:p>
    <w:p w14:paraId="44062CFA" w14:textId="31CE616B" w:rsidR="00217C70" w:rsidRPr="00D61AFE" w:rsidRDefault="00217C70" w:rsidP="00AF4242">
      <w:pPr>
        <w:jc w:val="both"/>
        <w:rPr>
          <w:rFonts w:ascii="Verdana" w:hAnsi="Verdana" w:cs="Arial"/>
          <w:bCs/>
          <w:lang w:val="es-CO"/>
        </w:rPr>
      </w:pPr>
      <w:r w:rsidRPr="00D61AFE">
        <w:rPr>
          <w:rFonts w:ascii="Verdana" w:hAnsi="Verdana" w:cs="Arial"/>
          <w:bCs/>
          <w:lang w:val="es-CO"/>
        </w:rPr>
        <w:t>Juan David Díaz Rojas</w:t>
      </w:r>
    </w:p>
    <w:p w14:paraId="0E066D9A" w14:textId="77777777" w:rsidR="00217C70" w:rsidRPr="00D61AFE" w:rsidRDefault="00217C70" w:rsidP="00AF4242">
      <w:pPr>
        <w:jc w:val="both"/>
        <w:rPr>
          <w:rFonts w:ascii="Verdana" w:hAnsi="Verdana" w:cs="Arial"/>
          <w:bCs/>
          <w:lang w:val="es-CO"/>
        </w:rPr>
      </w:pPr>
      <w:r w:rsidRPr="00D61AFE">
        <w:rPr>
          <w:rFonts w:ascii="Verdana" w:hAnsi="Verdana" w:cs="Arial"/>
          <w:bCs/>
          <w:lang w:val="es-CO"/>
        </w:rPr>
        <w:t>Director de Servicios Públicos Domiciliarios</w:t>
      </w:r>
    </w:p>
    <w:p w14:paraId="3A50BD6F" w14:textId="3B32812F" w:rsidR="00217C70" w:rsidRPr="00D61AFE" w:rsidRDefault="00217C70" w:rsidP="00AF4242">
      <w:pPr>
        <w:jc w:val="both"/>
        <w:rPr>
          <w:rFonts w:ascii="Verdana" w:hAnsi="Verdana" w:cs="Arial"/>
          <w:lang w:val="pt-PT"/>
        </w:rPr>
      </w:pPr>
      <w:r w:rsidRPr="00D61AFE">
        <w:rPr>
          <w:rFonts w:ascii="Verdana" w:hAnsi="Verdana" w:cs="Arial"/>
          <w:lang w:val="pt-PT"/>
        </w:rPr>
        <w:t>Carrera 34A  34-29 Edificio Potenza, Barzal Bajo piso 2 TO 2 OF 205 – 207</w:t>
      </w:r>
    </w:p>
    <w:p w14:paraId="468014FB" w14:textId="77777777" w:rsidR="00217C70" w:rsidRPr="00D61AFE" w:rsidRDefault="00217C70" w:rsidP="00AF4242">
      <w:pPr>
        <w:jc w:val="both"/>
        <w:rPr>
          <w:rFonts w:ascii="Verdana" w:hAnsi="Verdana" w:cs="Arial"/>
          <w:lang w:val="pt-PT"/>
        </w:rPr>
      </w:pPr>
      <w:r w:rsidRPr="00D61AFE">
        <w:rPr>
          <w:rFonts w:ascii="Verdana" w:hAnsi="Verdana" w:cs="Arial"/>
          <w:lang w:val="pt-PT"/>
        </w:rPr>
        <w:t>serviciospublicos@villavicencio.gov.co</w:t>
      </w:r>
    </w:p>
    <w:p w14:paraId="57468A54" w14:textId="3AB1A9DD" w:rsidR="00A55ABF" w:rsidRPr="00D61AFE" w:rsidRDefault="00217C70" w:rsidP="00AF4242">
      <w:pPr>
        <w:jc w:val="both"/>
        <w:rPr>
          <w:rFonts w:ascii="Verdana" w:hAnsi="Verdana" w:cs="Arial"/>
          <w:lang w:val="pt-PT"/>
        </w:rPr>
      </w:pPr>
      <w:r w:rsidRPr="00D61AFE">
        <w:rPr>
          <w:rFonts w:ascii="Verdana" w:hAnsi="Verdana" w:cs="Arial"/>
          <w:lang w:val="pt-PT"/>
        </w:rPr>
        <w:t>Villavicencio, Meta</w:t>
      </w:r>
    </w:p>
    <w:p w14:paraId="4E0AF2E3" w14:textId="77777777" w:rsidR="00A55ABF" w:rsidRPr="00D61AFE" w:rsidRDefault="00A55ABF" w:rsidP="00AF4242">
      <w:pPr>
        <w:jc w:val="both"/>
        <w:rPr>
          <w:rFonts w:ascii="Verdana" w:hAnsi="Verdana" w:cs="Arial"/>
          <w:lang w:val="pt-PT"/>
        </w:rPr>
      </w:pPr>
    </w:p>
    <w:p w14:paraId="0FE4F88F" w14:textId="77777777" w:rsidR="00217C70" w:rsidRPr="00D61AFE" w:rsidRDefault="00217C70" w:rsidP="00AF4242">
      <w:pPr>
        <w:jc w:val="both"/>
        <w:rPr>
          <w:rFonts w:ascii="Verdana" w:hAnsi="Verdana" w:cs="Arial"/>
        </w:rPr>
      </w:pPr>
    </w:p>
    <w:p w14:paraId="770FDD03" w14:textId="5763B3BE" w:rsidR="004326B8" w:rsidRPr="00D61AFE" w:rsidRDefault="00A55ABF" w:rsidP="00AF4242">
      <w:pPr>
        <w:jc w:val="both"/>
        <w:rPr>
          <w:rFonts w:ascii="Verdana" w:hAnsi="Verdana" w:cs="Arial"/>
        </w:rPr>
      </w:pPr>
      <w:r w:rsidRPr="00D61AFE">
        <w:rPr>
          <w:rFonts w:ascii="Verdana" w:hAnsi="Verdana" w:cs="Arial"/>
        </w:rPr>
        <w:t xml:space="preserve">Asunto: </w:t>
      </w:r>
      <w:r w:rsidR="004326B8" w:rsidRPr="00D61AFE">
        <w:rPr>
          <w:rFonts w:ascii="Verdana" w:hAnsi="Verdana" w:cs="Arial"/>
        </w:rPr>
        <w:t>Radicado CRA 2026-321-00</w:t>
      </w:r>
      <w:r w:rsidR="00217C70" w:rsidRPr="00D61AFE">
        <w:rPr>
          <w:rFonts w:ascii="Verdana" w:hAnsi="Verdana" w:cs="Arial"/>
        </w:rPr>
        <w:t>71</w:t>
      </w:r>
      <w:r w:rsidR="00C01CA6" w:rsidRPr="00D61AFE">
        <w:rPr>
          <w:rFonts w:ascii="Verdana" w:hAnsi="Verdana" w:cs="Arial"/>
        </w:rPr>
        <w:t>89</w:t>
      </w:r>
      <w:r w:rsidR="004326B8" w:rsidRPr="00D61AFE">
        <w:rPr>
          <w:rFonts w:ascii="Verdana" w:hAnsi="Verdana" w:cs="Arial"/>
        </w:rPr>
        <w:t xml:space="preserve">-2 del </w:t>
      </w:r>
      <w:r w:rsidR="00217C70" w:rsidRPr="00D61AFE">
        <w:rPr>
          <w:rFonts w:ascii="Verdana" w:hAnsi="Verdana" w:cs="Arial"/>
        </w:rPr>
        <w:t>25</w:t>
      </w:r>
      <w:r w:rsidR="00C01CA6" w:rsidRPr="00D61AFE">
        <w:rPr>
          <w:rFonts w:ascii="Verdana" w:hAnsi="Verdana" w:cs="Arial"/>
        </w:rPr>
        <w:t xml:space="preserve"> de mayo</w:t>
      </w:r>
      <w:r w:rsidR="004326B8" w:rsidRPr="00D61AFE">
        <w:rPr>
          <w:rFonts w:ascii="Verdana" w:hAnsi="Verdana" w:cs="Arial"/>
        </w:rPr>
        <w:t xml:space="preserve"> de 2026</w:t>
      </w:r>
      <w:r w:rsidR="00DE63E9" w:rsidRPr="00D61AFE">
        <w:rPr>
          <w:rFonts w:ascii="Verdana" w:hAnsi="Verdana" w:cs="Arial"/>
        </w:rPr>
        <w:t>.</w:t>
      </w:r>
    </w:p>
    <w:p w14:paraId="5C9F641D" w14:textId="77777777" w:rsidR="00A55ABF" w:rsidRPr="00D61AFE" w:rsidRDefault="00A55ABF" w:rsidP="00AF4242">
      <w:pPr>
        <w:jc w:val="both"/>
        <w:rPr>
          <w:rFonts w:ascii="Verdana" w:hAnsi="Verdana" w:cs="Arial"/>
        </w:rPr>
      </w:pPr>
    </w:p>
    <w:p w14:paraId="18053CB7" w14:textId="77777777" w:rsidR="00217C70" w:rsidRPr="00D61AFE" w:rsidRDefault="00217C70" w:rsidP="00AF4242">
      <w:pPr>
        <w:jc w:val="both"/>
        <w:rPr>
          <w:rFonts w:ascii="Verdana" w:hAnsi="Verdana" w:cs="Arial"/>
        </w:rPr>
      </w:pPr>
    </w:p>
    <w:p w14:paraId="488DA04E" w14:textId="161D9ED6" w:rsidR="00A01308" w:rsidRPr="00D61AFE" w:rsidRDefault="00863F0D" w:rsidP="00AF4242">
      <w:pPr>
        <w:jc w:val="both"/>
        <w:rPr>
          <w:rFonts w:ascii="Verdana" w:hAnsi="Verdana" w:cs="Arial"/>
        </w:rPr>
      </w:pPr>
      <w:r w:rsidRPr="00D61AFE">
        <w:rPr>
          <w:rFonts w:ascii="Verdana" w:hAnsi="Verdana" w:cs="Arial"/>
        </w:rPr>
        <w:t>Respetad</w:t>
      </w:r>
      <w:r w:rsidR="00217C70" w:rsidRPr="00D61AFE">
        <w:rPr>
          <w:rFonts w:ascii="Verdana" w:hAnsi="Verdana" w:cs="Arial"/>
        </w:rPr>
        <w:t>o</w:t>
      </w:r>
      <w:r w:rsidRPr="00D61AFE">
        <w:rPr>
          <w:rFonts w:ascii="Verdana" w:hAnsi="Verdana" w:cs="Arial"/>
        </w:rPr>
        <w:t xml:space="preserve"> </w:t>
      </w:r>
      <w:r w:rsidR="0062083E" w:rsidRPr="00D61AFE">
        <w:rPr>
          <w:rFonts w:ascii="Verdana" w:hAnsi="Verdana" w:cs="Arial"/>
        </w:rPr>
        <w:t xml:space="preserve">señor </w:t>
      </w:r>
      <w:r w:rsidR="00217C70" w:rsidRPr="00D61AFE">
        <w:rPr>
          <w:rFonts w:ascii="Verdana" w:hAnsi="Verdana" w:cs="Arial"/>
        </w:rPr>
        <w:t>Díaz</w:t>
      </w:r>
      <w:r w:rsidR="004D3BF3" w:rsidRPr="00D61AFE">
        <w:rPr>
          <w:rFonts w:ascii="Verdana" w:hAnsi="Verdana" w:cs="Arial"/>
        </w:rPr>
        <w:t xml:space="preserve">, </w:t>
      </w:r>
    </w:p>
    <w:p w14:paraId="7AACBAD3" w14:textId="77777777" w:rsidR="004D3BF3" w:rsidRPr="00D61AFE" w:rsidRDefault="004D3BF3" w:rsidP="00AF4242">
      <w:pPr>
        <w:jc w:val="both"/>
        <w:rPr>
          <w:rFonts w:ascii="Verdana" w:hAnsi="Verdana" w:cs="Arial"/>
        </w:rPr>
      </w:pPr>
    </w:p>
    <w:p w14:paraId="17C321B5" w14:textId="10D573F5" w:rsidR="004326B8" w:rsidRPr="00D61AFE" w:rsidRDefault="004326B8" w:rsidP="00AF4242">
      <w:pPr>
        <w:jc w:val="both"/>
        <w:rPr>
          <w:rFonts w:ascii="Verdana" w:hAnsi="Verdana" w:cs="Arial"/>
        </w:rPr>
      </w:pPr>
      <w:r w:rsidRPr="00D61AFE">
        <w:rPr>
          <w:rFonts w:ascii="Verdana" w:hAnsi="Verdana" w:cs="Arial"/>
        </w:rPr>
        <w:t xml:space="preserve">Recibimos la </w:t>
      </w:r>
      <w:r w:rsidR="00217C70" w:rsidRPr="00D61AFE">
        <w:rPr>
          <w:rFonts w:ascii="Verdana" w:hAnsi="Verdana" w:cs="Arial"/>
        </w:rPr>
        <w:t xml:space="preserve">comunicación </w:t>
      </w:r>
      <w:r w:rsidRPr="00D61AFE">
        <w:rPr>
          <w:rFonts w:ascii="Verdana" w:hAnsi="Verdana" w:cs="Arial"/>
        </w:rPr>
        <w:t>del asunto, mediante la cual</w:t>
      </w:r>
      <w:r w:rsidR="00217C70" w:rsidRPr="00D61AFE">
        <w:rPr>
          <w:rFonts w:ascii="Verdana" w:hAnsi="Verdana" w:cs="Arial"/>
        </w:rPr>
        <w:t xml:space="preserve"> </w:t>
      </w:r>
      <w:r w:rsidR="00DE63E9" w:rsidRPr="00D61AFE">
        <w:rPr>
          <w:rFonts w:ascii="Verdana" w:hAnsi="Verdana" w:cs="Arial"/>
        </w:rPr>
        <w:t>efectúa</w:t>
      </w:r>
      <w:r w:rsidR="00217C70" w:rsidRPr="00D61AFE">
        <w:rPr>
          <w:rFonts w:ascii="Verdana" w:hAnsi="Verdana" w:cs="Arial"/>
        </w:rPr>
        <w:t xml:space="preserve"> </w:t>
      </w:r>
      <w:r w:rsidR="00217C70" w:rsidRPr="00D61AFE">
        <w:rPr>
          <w:rFonts w:ascii="Verdana" w:hAnsi="Verdana" w:cs="Arial"/>
          <w:i/>
          <w:iCs/>
        </w:rPr>
        <w:t>“Solicitud de concepto técnico y regulatorio sobre incorporación de activos financiados con recursos públicos al Costo Medio de Inversión (CMI).”</w:t>
      </w:r>
    </w:p>
    <w:p w14:paraId="5497EB15" w14:textId="77777777" w:rsidR="00C01CA6" w:rsidRPr="00D61AFE" w:rsidRDefault="00C01CA6" w:rsidP="00AF4242">
      <w:pPr>
        <w:rPr>
          <w:rFonts w:ascii="Verdana" w:hAnsi="Verdana" w:cs="Arial"/>
        </w:rPr>
      </w:pPr>
    </w:p>
    <w:p w14:paraId="3203DB16" w14:textId="08EF7E35" w:rsidR="00C01CA6" w:rsidRPr="00D61AFE" w:rsidRDefault="00DE63E9" w:rsidP="00AF4242">
      <w:pPr>
        <w:jc w:val="both"/>
        <w:rPr>
          <w:rFonts w:ascii="Verdana" w:hAnsi="Verdana" w:cs="Arial"/>
        </w:rPr>
      </w:pPr>
      <w:r w:rsidRPr="00D61AFE">
        <w:rPr>
          <w:rFonts w:ascii="Verdana" w:hAnsi="Verdana" w:cs="Arial"/>
        </w:rPr>
        <w:t>Puntualmente</w:t>
      </w:r>
      <w:r w:rsidR="00C01CA6" w:rsidRPr="00D61AFE">
        <w:rPr>
          <w:rFonts w:ascii="Verdana" w:hAnsi="Verdana" w:cs="Arial"/>
        </w:rPr>
        <w:t xml:space="preserve">, realiza las siguientes </w:t>
      </w:r>
      <w:r w:rsidRPr="00D61AFE">
        <w:rPr>
          <w:rFonts w:ascii="Verdana" w:hAnsi="Verdana" w:cs="Arial"/>
        </w:rPr>
        <w:t>consultas</w:t>
      </w:r>
      <w:r w:rsidR="00C01CA6" w:rsidRPr="00D61AFE">
        <w:rPr>
          <w:rFonts w:ascii="Verdana" w:hAnsi="Verdana" w:cs="Arial"/>
        </w:rPr>
        <w:t xml:space="preserve"> sobre las cuales se dará respuesta de acuerdo con el orden </w:t>
      </w:r>
      <w:r w:rsidRPr="00D61AFE">
        <w:rPr>
          <w:rFonts w:ascii="Verdana" w:hAnsi="Verdana" w:cs="Arial"/>
        </w:rPr>
        <w:t>presentado</w:t>
      </w:r>
      <w:r w:rsidR="00C01CA6" w:rsidRPr="00D61AFE">
        <w:rPr>
          <w:rFonts w:ascii="Verdana" w:hAnsi="Verdana" w:cs="Arial"/>
        </w:rPr>
        <w:t xml:space="preserve"> en su comunicación.</w:t>
      </w:r>
    </w:p>
    <w:p w14:paraId="6BAA6276" w14:textId="77777777" w:rsidR="00C01CA6" w:rsidRPr="00D61AFE" w:rsidRDefault="00C01CA6" w:rsidP="00AF4242">
      <w:pPr>
        <w:jc w:val="both"/>
        <w:rPr>
          <w:rFonts w:ascii="Verdana" w:hAnsi="Verdana" w:cs="Arial"/>
        </w:rPr>
      </w:pPr>
    </w:p>
    <w:p w14:paraId="33DF67E7" w14:textId="3876D04D" w:rsidR="00C66D81" w:rsidRPr="00D61AFE" w:rsidRDefault="002B2B48" w:rsidP="00AF4242">
      <w:pPr>
        <w:contextualSpacing/>
        <w:jc w:val="both"/>
        <w:rPr>
          <w:rFonts w:ascii="Verdana" w:hAnsi="Verdana" w:cs="Arial"/>
        </w:rPr>
      </w:pPr>
      <w:r w:rsidRPr="00D61AFE">
        <w:rPr>
          <w:rFonts w:ascii="Verdana" w:hAnsi="Verdana" w:cs="Arial"/>
        </w:rPr>
        <w:t xml:space="preserve">Previo a dar respuesta es preciso señalar que conforme </w:t>
      </w:r>
      <w:r w:rsidR="00AB3C70" w:rsidRPr="00D61AFE">
        <w:rPr>
          <w:rFonts w:ascii="Verdana" w:hAnsi="Verdana" w:cs="Arial"/>
        </w:rPr>
        <w:t>con el alcance previsto en el artículo 28</w:t>
      </w:r>
      <w:r w:rsidR="00AB3C70" w:rsidRPr="00D61AFE">
        <w:rPr>
          <w:rStyle w:val="Refdenotaalpie"/>
          <w:rFonts w:ascii="Verdana" w:hAnsi="Verdana" w:cs="Arial"/>
        </w:rPr>
        <w:footnoteReference w:id="1"/>
      </w:r>
      <w:r w:rsidR="00AB3C70" w:rsidRPr="00D61AFE">
        <w:rPr>
          <w:rFonts w:ascii="Verdana" w:hAnsi="Verdana" w:cs="Arial"/>
        </w:rPr>
        <w:t xml:space="preserve"> del Código de Procedimiento Administrativo y de lo Contencioso Administrativo,</w:t>
      </w:r>
      <w:r w:rsidRPr="00D61AFE">
        <w:rPr>
          <w:rFonts w:ascii="Verdana" w:hAnsi="Verdana" w:cs="Arial"/>
        </w:rPr>
        <w:t xml:space="preserve"> </w:t>
      </w:r>
      <w:r w:rsidR="00AB3C70" w:rsidRPr="00D61AFE">
        <w:rPr>
          <w:rFonts w:ascii="Verdana" w:hAnsi="Verdana" w:cs="Arial"/>
        </w:rPr>
        <w:t>los conceptos emitidos por esta Comisión de Regulación constituyen orientaciones y puntos de vista de carácter general, que no comprenden la solución directa de problemas específicos, ni el análisis de situaciones particulares y no tienen carácter obligatorio ni vinculante.</w:t>
      </w:r>
      <w:r w:rsidR="009953F0" w:rsidRPr="00D61AFE">
        <w:t xml:space="preserve"> </w:t>
      </w:r>
      <w:r w:rsidR="009953F0" w:rsidRPr="00D61AFE">
        <w:rPr>
          <w:rFonts w:ascii="Verdana" w:hAnsi="Verdana" w:cs="Arial"/>
        </w:rPr>
        <w:t xml:space="preserve">Adicionalmente la presente respuesta se emite </w:t>
      </w:r>
      <w:r w:rsidR="000904C3" w:rsidRPr="00D61AFE">
        <w:rPr>
          <w:rFonts w:ascii="Verdana" w:hAnsi="Verdana" w:cs="Arial"/>
        </w:rPr>
        <w:t>sin</w:t>
      </w:r>
      <w:r w:rsidR="009953F0" w:rsidRPr="00D61AFE">
        <w:rPr>
          <w:rFonts w:ascii="Verdana" w:hAnsi="Verdana" w:cs="Arial"/>
        </w:rPr>
        <w:t xml:space="preserve"> perjuicio de lo que sobre el particular consideren otras entidades en el marco de sus competencias.</w:t>
      </w:r>
    </w:p>
    <w:p w14:paraId="6D3973F8" w14:textId="77777777" w:rsidR="00CD096A" w:rsidRPr="00D61AFE" w:rsidRDefault="00CD096A" w:rsidP="00AF4242">
      <w:pPr>
        <w:contextualSpacing/>
        <w:jc w:val="both"/>
        <w:rPr>
          <w:rFonts w:ascii="Verdana" w:hAnsi="Verdana" w:cs="Arial"/>
        </w:rPr>
      </w:pPr>
    </w:p>
    <w:p w14:paraId="57B5C7BD" w14:textId="48F7A89C" w:rsidR="005163DC" w:rsidRPr="00D61AFE" w:rsidRDefault="005163DC" w:rsidP="00AF4242">
      <w:pPr>
        <w:ind w:left="284"/>
        <w:jc w:val="both"/>
        <w:rPr>
          <w:rFonts w:ascii="Verdana" w:hAnsi="Verdana" w:cs="Arial"/>
          <w:b/>
          <w:bCs/>
          <w:i/>
          <w:iCs/>
        </w:rPr>
      </w:pPr>
      <w:r w:rsidRPr="00D61AFE">
        <w:rPr>
          <w:rFonts w:ascii="Verdana" w:hAnsi="Verdana" w:cs="Arial"/>
          <w:b/>
          <w:bCs/>
          <w:i/>
          <w:iCs/>
        </w:rPr>
        <w:t>“</w:t>
      </w:r>
      <w:r w:rsidR="00F73CB9" w:rsidRPr="00D61AFE">
        <w:rPr>
          <w:rFonts w:ascii="Verdana" w:hAnsi="Verdana" w:cs="Arial"/>
          <w:b/>
          <w:bCs/>
          <w:i/>
          <w:iCs/>
        </w:rPr>
        <w:t xml:space="preserve">1. </w:t>
      </w:r>
      <w:r w:rsidR="00217C70" w:rsidRPr="00D61AFE">
        <w:rPr>
          <w:rFonts w:ascii="Verdana" w:hAnsi="Verdana" w:cs="Arial"/>
          <w:b/>
          <w:bCs/>
          <w:i/>
          <w:iCs/>
        </w:rPr>
        <w:t xml:space="preserve">¿La incorporación patrimonial de activos de infraestructura financiados total o parcialmente con recursos públicos a favor de una empresa prestadora de servicios públicos domiciliarios implica necesariamente su </w:t>
      </w:r>
      <w:r w:rsidR="00217C70" w:rsidRPr="00D61AFE">
        <w:rPr>
          <w:rFonts w:ascii="Verdana" w:hAnsi="Verdana" w:cs="Arial"/>
          <w:b/>
          <w:bCs/>
          <w:i/>
          <w:iCs/>
        </w:rPr>
        <w:lastRenderedPageBreak/>
        <w:t>reconocimiento como inversión remunerable dentro del Costo Medio de Inversión (CMI)?</w:t>
      </w:r>
      <w:r w:rsidRPr="00D61AFE">
        <w:rPr>
          <w:rFonts w:ascii="Verdana" w:hAnsi="Verdana" w:cs="Arial"/>
          <w:b/>
          <w:bCs/>
          <w:i/>
          <w:iCs/>
        </w:rPr>
        <w:t>”</w:t>
      </w:r>
    </w:p>
    <w:p w14:paraId="3DBD73D2" w14:textId="31F9D038" w:rsidR="005163DC" w:rsidRPr="00D61AFE" w:rsidRDefault="005163DC" w:rsidP="00AF4242">
      <w:pPr>
        <w:jc w:val="both"/>
        <w:rPr>
          <w:rFonts w:ascii="Verdana" w:hAnsi="Verdana" w:cs="Arial"/>
          <w:b/>
          <w:bCs/>
          <w:i/>
          <w:iCs/>
        </w:rPr>
      </w:pPr>
      <w:r w:rsidRPr="00D61AFE">
        <w:rPr>
          <w:rFonts w:ascii="Verdana" w:hAnsi="Verdana" w:cs="Arial"/>
          <w:b/>
          <w:bCs/>
          <w:i/>
          <w:iCs/>
        </w:rPr>
        <w:t xml:space="preserve"> </w:t>
      </w:r>
    </w:p>
    <w:p w14:paraId="0A7A945E" w14:textId="6D36D53A" w:rsidR="00217C70" w:rsidRPr="00D61AFE" w:rsidRDefault="00217C70" w:rsidP="00AF4242">
      <w:pPr>
        <w:spacing w:after="160"/>
        <w:jc w:val="both"/>
        <w:rPr>
          <w:rFonts w:ascii="Verdana" w:eastAsia="Verdana" w:hAnsi="Verdana" w:cs="Verdana"/>
        </w:rPr>
      </w:pPr>
      <w:r w:rsidRPr="00D61AFE">
        <w:rPr>
          <w:rFonts w:ascii="Verdana" w:eastAsia="Verdana" w:hAnsi="Verdana" w:cs="Verdana"/>
        </w:rPr>
        <w:t>Al respecto, el artículo 87.9 de la Ley 142 de 1994 establece:</w:t>
      </w:r>
    </w:p>
    <w:p w14:paraId="34489490" w14:textId="1F236B1F" w:rsidR="00217C70" w:rsidRPr="00D61AFE" w:rsidRDefault="00217C70" w:rsidP="005356D9">
      <w:pPr>
        <w:spacing w:after="160"/>
        <w:ind w:left="567"/>
        <w:jc w:val="both"/>
        <w:rPr>
          <w:rFonts w:ascii="Verdana" w:eastAsia="Verdana" w:hAnsi="Verdana" w:cs="Verdana"/>
          <w:i/>
          <w:iCs/>
        </w:rPr>
      </w:pPr>
      <w:r w:rsidRPr="00D61AFE">
        <w:rPr>
          <w:rFonts w:ascii="Verdana" w:eastAsia="Verdana" w:hAnsi="Verdana" w:cs="Verdana"/>
          <w:i/>
          <w:iCs/>
        </w:rPr>
        <w:t>“Las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w:t>
      </w:r>
    </w:p>
    <w:p w14:paraId="4CC9E46D" w14:textId="2CD1442D" w:rsidR="00217C70" w:rsidRPr="00D61AFE" w:rsidRDefault="00217C70" w:rsidP="005356D9">
      <w:pPr>
        <w:spacing w:after="160"/>
        <w:ind w:left="567"/>
        <w:jc w:val="both"/>
        <w:rPr>
          <w:rFonts w:ascii="Verdana" w:eastAsia="Verdana" w:hAnsi="Verdana" w:cs="Verdana"/>
          <w:i/>
          <w:iCs/>
        </w:rPr>
      </w:pPr>
      <w:r w:rsidRPr="00D61AFE">
        <w:rPr>
          <w:rFonts w:ascii="Verdana" w:eastAsia="Verdana" w:hAnsi="Verdana" w:cs="Verdana"/>
          <w:i/>
          <w:iCs/>
        </w:rPr>
        <w:t>Lo dispuesto en el presente artículo no es aplicable cuando se realice enajenación o capitalización de dichos bienes o derechos.”</w:t>
      </w:r>
    </w:p>
    <w:p w14:paraId="3B2D5111" w14:textId="2E256293" w:rsidR="005163DC" w:rsidRPr="00D61AFE" w:rsidRDefault="00217C70" w:rsidP="00AF4242">
      <w:pPr>
        <w:spacing w:after="120"/>
        <w:jc w:val="both"/>
        <w:rPr>
          <w:rFonts w:ascii="Verdana" w:eastAsia="Verdana" w:hAnsi="Verdana" w:cs="Verdana"/>
        </w:rPr>
      </w:pPr>
      <w:r w:rsidRPr="00D61AFE">
        <w:rPr>
          <w:rFonts w:ascii="Verdana" w:eastAsia="Verdana" w:hAnsi="Verdana" w:cs="Verdana"/>
        </w:rPr>
        <w:t>Por lo tanto, las inversiones en activos de infraestructura financiados total o parcialmente con recursos públicos no se pueden incluir en el cálculo tarifario (en el componente CMI) a excepción de</w:t>
      </w:r>
      <w:r w:rsidR="001718CA" w:rsidRPr="00D61AFE">
        <w:rPr>
          <w:rFonts w:ascii="Verdana" w:eastAsia="Verdana" w:hAnsi="Verdana" w:cs="Verdana"/>
        </w:rPr>
        <w:t xml:space="preserve">l caso en </w:t>
      </w:r>
      <w:r w:rsidRPr="00D61AFE">
        <w:rPr>
          <w:rFonts w:ascii="Verdana" w:eastAsia="Verdana" w:hAnsi="Verdana" w:cs="Verdana"/>
        </w:rPr>
        <w:t xml:space="preserve">que </w:t>
      </w:r>
      <w:r w:rsidR="001718CA" w:rsidRPr="00D61AFE">
        <w:rPr>
          <w:rFonts w:ascii="Verdana" w:eastAsia="Verdana" w:hAnsi="Verdana" w:cs="Verdana"/>
        </w:rPr>
        <w:t>l</w:t>
      </w:r>
      <w:r w:rsidRPr="00D61AFE">
        <w:rPr>
          <w:rFonts w:ascii="Verdana" w:eastAsia="Verdana" w:hAnsi="Verdana" w:cs="Verdana"/>
        </w:rPr>
        <w:t xml:space="preserve">os activos sean incorporados en el patrimonio de la empresa prestadora a través de un proceso de capitalización o por medio de una enajenación que realice la entidad pública a la empresa. </w:t>
      </w:r>
    </w:p>
    <w:p w14:paraId="65ED7B81" w14:textId="77777777" w:rsidR="00AF4242" w:rsidRPr="00D61AFE" w:rsidRDefault="00AF4242" w:rsidP="00AF4242">
      <w:pPr>
        <w:jc w:val="both"/>
        <w:rPr>
          <w:rFonts w:ascii="Verdana" w:hAnsi="Verdana" w:cs="Arial"/>
          <w:lang w:val="es-CO"/>
        </w:rPr>
      </w:pPr>
    </w:p>
    <w:p w14:paraId="1A19281F" w14:textId="6B435FD1" w:rsidR="004C6F8A" w:rsidRPr="00D61AFE" w:rsidRDefault="00217C70" w:rsidP="00AF4242">
      <w:pPr>
        <w:ind w:left="284"/>
        <w:jc w:val="both"/>
        <w:rPr>
          <w:rFonts w:ascii="Verdana" w:hAnsi="Verdana" w:cs="Arial"/>
          <w:lang w:val="es-CO"/>
        </w:rPr>
      </w:pPr>
      <w:r w:rsidRPr="00D61AFE">
        <w:rPr>
          <w:rFonts w:ascii="Verdana" w:hAnsi="Verdana" w:cs="Arial"/>
          <w:b/>
          <w:bCs/>
          <w:i/>
          <w:iCs/>
        </w:rPr>
        <w:t>“</w:t>
      </w:r>
      <w:r w:rsidR="00F73CB9" w:rsidRPr="00D61AFE">
        <w:rPr>
          <w:rFonts w:ascii="Verdana" w:hAnsi="Verdana" w:cs="Arial"/>
          <w:b/>
          <w:bCs/>
          <w:i/>
          <w:iCs/>
        </w:rPr>
        <w:t xml:space="preserve">2. </w:t>
      </w:r>
      <w:r w:rsidRPr="00D61AFE">
        <w:rPr>
          <w:rFonts w:ascii="Verdana" w:hAnsi="Verdana" w:cs="Arial"/>
          <w:b/>
          <w:bCs/>
          <w:i/>
          <w:iCs/>
        </w:rPr>
        <w:t>¿Qué diferencias regulatorias, contables y tarifarias existen entre la entrega de infraestructura para operación, administración y mantenimiento, y la transferencia o incorporación patrimonial de dicha infraestructura, para efectos de su eventual reconocimiento en el CMI?”</w:t>
      </w:r>
    </w:p>
    <w:p w14:paraId="26DF16D6" w14:textId="77777777" w:rsidR="004C6F8A" w:rsidRPr="00D61AFE" w:rsidRDefault="004C6F8A" w:rsidP="00AF4242">
      <w:pPr>
        <w:jc w:val="both"/>
        <w:rPr>
          <w:rFonts w:ascii="Verdana" w:hAnsi="Verdana" w:cs="Arial"/>
          <w:lang w:val="es-CO"/>
        </w:rPr>
      </w:pPr>
    </w:p>
    <w:p w14:paraId="4338FDD6" w14:textId="4850E301" w:rsidR="00217C70" w:rsidRPr="00D61AFE" w:rsidRDefault="00217C70" w:rsidP="00AF4242">
      <w:pPr>
        <w:jc w:val="both"/>
        <w:rPr>
          <w:rFonts w:ascii="Verdana" w:hAnsi="Verdana" w:cs="Arial"/>
        </w:rPr>
      </w:pPr>
      <w:r w:rsidRPr="00D61AFE">
        <w:rPr>
          <w:rFonts w:ascii="Verdana" w:hAnsi="Verdana" w:cs="Arial"/>
        </w:rPr>
        <w:t>Desde la perspectiva regulatoria y tarifaria, no es reconocible vía tarifa el valor de los activos financiados con recursos públicos aportados bajo la condición del artículo 87.9 de la Ley 142 de 1994</w:t>
      </w:r>
      <w:r w:rsidR="008A7B0B" w:rsidRPr="00D61AFE">
        <w:rPr>
          <w:rFonts w:ascii="Verdana" w:hAnsi="Verdana" w:cs="Arial"/>
        </w:rPr>
        <w:t>, lo que incluye los casos en los que se entrega</w:t>
      </w:r>
      <w:r w:rsidR="00BC7FE5" w:rsidRPr="00D61AFE">
        <w:rPr>
          <w:rFonts w:ascii="Verdana" w:hAnsi="Verdana" w:cs="Arial"/>
        </w:rPr>
        <w:t>n</w:t>
      </w:r>
      <w:r w:rsidR="008A7B0B" w:rsidRPr="00D61AFE">
        <w:rPr>
          <w:rFonts w:ascii="Verdana" w:hAnsi="Verdana" w:cs="Arial"/>
        </w:rPr>
        <w:t xml:space="preserve"> activos al prestador para operación, administración y mantenimiento cuando la titularidad del bien permanece en cabeza de la entidad pública que lo aporta o entrega</w:t>
      </w:r>
      <w:r w:rsidRPr="00D61AFE">
        <w:rPr>
          <w:rFonts w:ascii="Verdana" w:hAnsi="Verdana" w:cs="Arial"/>
        </w:rPr>
        <w:t xml:space="preserve">. </w:t>
      </w:r>
    </w:p>
    <w:p w14:paraId="3FDEAC55" w14:textId="77777777" w:rsidR="00217C70" w:rsidRPr="00D61AFE" w:rsidRDefault="00217C70" w:rsidP="00AF4242">
      <w:pPr>
        <w:jc w:val="both"/>
        <w:rPr>
          <w:rFonts w:ascii="Verdana" w:hAnsi="Verdana" w:cs="Arial"/>
        </w:rPr>
      </w:pPr>
    </w:p>
    <w:p w14:paraId="5C396A53" w14:textId="64949844" w:rsidR="00C9702A" w:rsidRPr="00D61AFE" w:rsidRDefault="008A7B0B" w:rsidP="00AF4242">
      <w:pPr>
        <w:jc w:val="both"/>
        <w:rPr>
          <w:rFonts w:ascii="Verdana" w:hAnsi="Verdana" w:cs="Arial"/>
        </w:rPr>
      </w:pPr>
      <w:r w:rsidRPr="00D61AFE">
        <w:rPr>
          <w:rFonts w:ascii="Verdana" w:hAnsi="Verdana" w:cs="Arial"/>
        </w:rPr>
        <w:t>Ahora, cuando se presenta</w:t>
      </w:r>
      <w:r w:rsidR="00217C70" w:rsidRPr="00D61AFE">
        <w:rPr>
          <w:rFonts w:ascii="Verdana" w:hAnsi="Verdana" w:cs="Arial"/>
        </w:rPr>
        <w:t xml:space="preserve"> transferencia </w:t>
      </w:r>
      <w:r w:rsidRPr="00D61AFE">
        <w:rPr>
          <w:rFonts w:ascii="Verdana" w:hAnsi="Verdana" w:cs="Arial"/>
        </w:rPr>
        <w:t>de la propiedad de los activos y</w:t>
      </w:r>
      <w:r w:rsidR="00217C70" w:rsidRPr="00D61AFE">
        <w:rPr>
          <w:rFonts w:ascii="Verdana" w:hAnsi="Verdana" w:cs="Arial"/>
        </w:rPr>
        <w:t xml:space="preserve"> </w:t>
      </w:r>
      <w:r w:rsidRPr="00D61AFE">
        <w:rPr>
          <w:rFonts w:ascii="Verdana" w:hAnsi="Verdana" w:cs="Arial"/>
        </w:rPr>
        <w:t xml:space="preserve">se </w:t>
      </w:r>
      <w:r w:rsidR="00217C70" w:rsidRPr="00D61AFE">
        <w:rPr>
          <w:rFonts w:ascii="Verdana" w:hAnsi="Verdana" w:cs="Arial"/>
        </w:rPr>
        <w:t>incorpora</w:t>
      </w:r>
      <w:r w:rsidRPr="00D61AFE">
        <w:rPr>
          <w:rFonts w:ascii="Verdana" w:hAnsi="Verdana" w:cs="Arial"/>
        </w:rPr>
        <w:t xml:space="preserve">n en el </w:t>
      </w:r>
      <w:r w:rsidR="00217C70" w:rsidRPr="00D61AFE">
        <w:rPr>
          <w:rFonts w:ascii="Verdana" w:hAnsi="Verdana" w:cs="Arial"/>
        </w:rPr>
        <w:t>patrimoni</w:t>
      </w:r>
      <w:r w:rsidRPr="00D61AFE">
        <w:rPr>
          <w:rFonts w:ascii="Verdana" w:hAnsi="Verdana" w:cs="Arial"/>
        </w:rPr>
        <w:t>o</w:t>
      </w:r>
      <w:r w:rsidR="00217C70" w:rsidRPr="00D61AFE">
        <w:rPr>
          <w:rFonts w:ascii="Verdana" w:hAnsi="Verdana" w:cs="Arial"/>
        </w:rPr>
        <w:t xml:space="preserve"> </w:t>
      </w:r>
      <w:r w:rsidRPr="00D61AFE">
        <w:rPr>
          <w:rFonts w:ascii="Verdana" w:hAnsi="Verdana" w:cs="Arial"/>
        </w:rPr>
        <w:t>de</w:t>
      </w:r>
      <w:r w:rsidR="00217C70" w:rsidRPr="00D61AFE">
        <w:rPr>
          <w:rFonts w:ascii="Verdana" w:hAnsi="Verdana" w:cs="Arial"/>
        </w:rPr>
        <w:t xml:space="preserve"> la empresa prestadora</w:t>
      </w:r>
      <w:r w:rsidR="00BC7FE5" w:rsidRPr="00D61AFE">
        <w:rPr>
          <w:rFonts w:ascii="Verdana" w:hAnsi="Verdana" w:cs="Arial"/>
        </w:rPr>
        <w:t>,</w:t>
      </w:r>
      <w:r w:rsidR="00217C70" w:rsidRPr="00D61AFE">
        <w:rPr>
          <w:rFonts w:ascii="Verdana" w:hAnsi="Verdana" w:cs="Arial"/>
        </w:rPr>
        <w:t xml:space="preserve"> </w:t>
      </w:r>
      <w:r w:rsidRPr="00D61AFE">
        <w:rPr>
          <w:rFonts w:ascii="Verdana" w:hAnsi="Verdana" w:cs="Arial"/>
        </w:rPr>
        <w:t>se configura la excepción descrita en la respuesta a la pregunta</w:t>
      </w:r>
      <w:r w:rsidR="00BC7FE5" w:rsidRPr="00D61AFE">
        <w:rPr>
          <w:rFonts w:ascii="Verdana" w:hAnsi="Verdana" w:cs="Arial"/>
        </w:rPr>
        <w:t xml:space="preserve"> </w:t>
      </w:r>
      <w:r w:rsidR="00BC7FE5" w:rsidRPr="00D61AFE">
        <w:rPr>
          <w:rFonts w:ascii="Verdana" w:hAnsi="Verdana" w:cs="Arial"/>
        </w:rPr>
        <w:t>anterior</w:t>
      </w:r>
      <w:r w:rsidRPr="00D61AFE">
        <w:rPr>
          <w:rFonts w:ascii="Verdana" w:hAnsi="Verdana" w:cs="Arial"/>
        </w:rPr>
        <w:t xml:space="preserve">, por lo que </w:t>
      </w:r>
      <w:r w:rsidR="00C9702A" w:rsidRPr="00D61AFE">
        <w:rPr>
          <w:rFonts w:ascii="Verdana" w:hAnsi="Verdana" w:cs="Arial"/>
        </w:rPr>
        <w:t xml:space="preserve">se deduce que el criterio determinante para la inclusión en la tarifa (vía CMI) es la titularidad o el registro patrimonial </w:t>
      </w:r>
      <w:r w:rsidR="001718CA" w:rsidRPr="00D61AFE">
        <w:rPr>
          <w:rFonts w:ascii="Verdana" w:hAnsi="Verdana" w:cs="Arial"/>
        </w:rPr>
        <w:t xml:space="preserve">por la capitalización </w:t>
      </w:r>
      <w:r w:rsidR="00C9702A" w:rsidRPr="00D61AFE">
        <w:rPr>
          <w:rFonts w:ascii="Verdana" w:hAnsi="Verdana" w:cs="Arial"/>
        </w:rPr>
        <w:t>del bien por parte del prestador</w:t>
      </w:r>
      <w:r w:rsidR="00217C70" w:rsidRPr="00D61AFE">
        <w:rPr>
          <w:rFonts w:ascii="Verdana" w:hAnsi="Verdana" w:cs="Arial"/>
        </w:rPr>
        <w:t xml:space="preserve">. </w:t>
      </w:r>
      <w:r w:rsidR="00C02260" w:rsidRPr="00D61AFE">
        <w:rPr>
          <w:rFonts w:ascii="Verdana" w:hAnsi="Verdana" w:cs="Arial"/>
        </w:rPr>
        <w:t xml:space="preserve"> </w:t>
      </w:r>
    </w:p>
    <w:p w14:paraId="1632A516" w14:textId="77777777" w:rsidR="00C9702A" w:rsidRPr="00D61AFE" w:rsidRDefault="00C9702A" w:rsidP="00AF4242">
      <w:pPr>
        <w:jc w:val="both"/>
        <w:rPr>
          <w:rFonts w:ascii="Verdana" w:hAnsi="Verdana" w:cs="Arial"/>
        </w:rPr>
      </w:pPr>
    </w:p>
    <w:p w14:paraId="4B48909F" w14:textId="5BA65A5C" w:rsidR="00217C70" w:rsidRPr="00D61AFE" w:rsidRDefault="00C9702A" w:rsidP="00AF4242">
      <w:pPr>
        <w:jc w:val="both"/>
        <w:rPr>
          <w:rFonts w:ascii="Verdana" w:hAnsi="Verdana" w:cs="Arial"/>
        </w:rPr>
      </w:pPr>
      <w:r w:rsidRPr="00D61AFE">
        <w:rPr>
          <w:rFonts w:ascii="Verdana" w:hAnsi="Verdana" w:cs="Arial"/>
        </w:rPr>
        <w:t>Adicionalmente</w:t>
      </w:r>
      <w:r w:rsidR="00217C70" w:rsidRPr="00D61AFE">
        <w:rPr>
          <w:rFonts w:ascii="Verdana" w:hAnsi="Verdana" w:cs="Arial"/>
        </w:rPr>
        <w:t xml:space="preserve">, tratándose de activos de terceros que se </w:t>
      </w:r>
      <w:r w:rsidRPr="00D61AFE">
        <w:rPr>
          <w:rFonts w:ascii="Verdana" w:hAnsi="Verdana" w:cs="Arial"/>
        </w:rPr>
        <w:t xml:space="preserve">pueden </w:t>
      </w:r>
      <w:r w:rsidR="00217C70" w:rsidRPr="00D61AFE">
        <w:rPr>
          <w:rFonts w:ascii="Verdana" w:hAnsi="Verdana" w:cs="Arial"/>
        </w:rPr>
        <w:t>inclu</w:t>
      </w:r>
      <w:r w:rsidRPr="00D61AFE">
        <w:rPr>
          <w:rFonts w:ascii="Verdana" w:hAnsi="Verdana" w:cs="Arial"/>
        </w:rPr>
        <w:t>ir</w:t>
      </w:r>
      <w:r w:rsidR="00217C70" w:rsidRPr="00D61AFE">
        <w:rPr>
          <w:rFonts w:ascii="Verdana" w:hAnsi="Verdana" w:cs="Arial"/>
        </w:rPr>
        <w:t xml:space="preserve"> en el costo medio de inversión, el literal e</w:t>
      </w:r>
      <w:r w:rsidR="001718CA" w:rsidRPr="00D61AFE">
        <w:rPr>
          <w:rFonts w:ascii="Verdana" w:hAnsi="Verdana" w:cs="Arial"/>
        </w:rPr>
        <w:t>. del numeral i. de la sección B</w:t>
      </w:r>
      <w:r w:rsidR="00217C70" w:rsidRPr="00D61AFE">
        <w:rPr>
          <w:rFonts w:ascii="Verdana" w:hAnsi="Verdana" w:cs="Arial"/>
        </w:rPr>
        <w:t xml:space="preserve"> del artículo </w:t>
      </w:r>
      <w:r w:rsidR="00217C70" w:rsidRPr="00D61AFE">
        <w:rPr>
          <w:rFonts w:ascii="Verdana" w:hAnsi="Verdana" w:cs="Arial"/>
        </w:rPr>
        <w:lastRenderedPageBreak/>
        <w:t xml:space="preserve">2.1.2.1.3.5.18 exige pactar contractualmente y de manera clara las condiciones de remuneración (rentabilidad y recuperación del capital), rehabilitación y reposición del propietario de los activos. </w:t>
      </w:r>
      <w:r w:rsidRPr="00D61AFE">
        <w:rPr>
          <w:rFonts w:ascii="Verdana" w:hAnsi="Verdana" w:cs="Arial"/>
        </w:rPr>
        <w:t xml:space="preserve">Por lo tanto, la regulación establece otra alternativa por la cual se pueden reconocer los costos de inversión de activos </w:t>
      </w:r>
      <w:r w:rsidR="00217C70" w:rsidRPr="00D61AFE">
        <w:rPr>
          <w:rFonts w:ascii="Verdana" w:hAnsi="Verdana" w:cs="Arial"/>
        </w:rPr>
        <w:t>a</w:t>
      </w:r>
      <w:r w:rsidRPr="00D61AFE">
        <w:rPr>
          <w:rFonts w:ascii="Verdana" w:hAnsi="Verdana" w:cs="Arial"/>
        </w:rPr>
        <w:t>u</w:t>
      </w:r>
      <w:r w:rsidR="00217C70" w:rsidRPr="00D61AFE">
        <w:rPr>
          <w:rFonts w:ascii="Verdana" w:hAnsi="Verdana" w:cs="Arial"/>
        </w:rPr>
        <w:t>n</w:t>
      </w:r>
      <w:r w:rsidRPr="00D61AFE">
        <w:rPr>
          <w:rFonts w:ascii="Verdana" w:hAnsi="Verdana" w:cs="Arial"/>
        </w:rPr>
        <w:t xml:space="preserve"> </w:t>
      </w:r>
      <w:r w:rsidR="00217C70" w:rsidRPr="00D61AFE">
        <w:rPr>
          <w:rFonts w:ascii="Verdana" w:hAnsi="Verdana" w:cs="Arial"/>
        </w:rPr>
        <w:t xml:space="preserve">cuando </w:t>
      </w:r>
      <w:r w:rsidRPr="00D61AFE">
        <w:rPr>
          <w:rFonts w:ascii="Verdana" w:hAnsi="Verdana" w:cs="Arial"/>
        </w:rPr>
        <w:t>éstos</w:t>
      </w:r>
      <w:r w:rsidR="00217C70" w:rsidRPr="00D61AFE">
        <w:rPr>
          <w:rFonts w:ascii="Verdana" w:hAnsi="Verdana" w:cs="Arial"/>
        </w:rPr>
        <w:t xml:space="preserve"> </w:t>
      </w:r>
      <w:r w:rsidRPr="00D61AFE">
        <w:rPr>
          <w:rFonts w:ascii="Verdana" w:hAnsi="Verdana" w:cs="Arial"/>
        </w:rPr>
        <w:t xml:space="preserve">no </w:t>
      </w:r>
      <w:r w:rsidR="00217C70" w:rsidRPr="00D61AFE">
        <w:rPr>
          <w:rFonts w:ascii="Verdana" w:hAnsi="Verdana" w:cs="Arial"/>
        </w:rPr>
        <w:t>se incorpore</w:t>
      </w:r>
      <w:r w:rsidRPr="00D61AFE">
        <w:rPr>
          <w:rFonts w:ascii="Verdana" w:hAnsi="Verdana" w:cs="Arial"/>
        </w:rPr>
        <w:t>n</w:t>
      </w:r>
      <w:r w:rsidR="00217C70" w:rsidRPr="00D61AFE">
        <w:rPr>
          <w:rFonts w:ascii="Verdana" w:hAnsi="Verdana" w:cs="Arial"/>
        </w:rPr>
        <w:t xml:space="preserve"> al patrimonio de la empresa.</w:t>
      </w:r>
    </w:p>
    <w:p w14:paraId="3C923549" w14:textId="77777777" w:rsidR="00AF4242" w:rsidRPr="00D61AFE" w:rsidRDefault="00AF4242" w:rsidP="00AF4242">
      <w:pPr>
        <w:jc w:val="both"/>
        <w:rPr>
          <w:rFonts w:ascii="Verdana" w:hAnsi="Verdana" w:cs="Arial"/>
        </w:rPr>
      </w:pPr>
    </w:p>
    <w:p w14:paraId="33EE9AB3" w14:textId="3F0B6FA6" w:rsidR="00F73CB9" w:rsidRPr="00D61AFE" w:rsidRDefault="00F73CB9" w:rsidP="00AF4242">
      <w:pPr>
        <w:ind w:left="284"/>
        <w:jc w:val="both"/>
        <w:rPr>
          <w:rFonts w:ascii="Verdana" w:hAnsi="Verdana" w:cs="Arial"/>
        </w:rPr>
      </w:pPr>
      <w:r w:rsidRPr="00D61AFE">
        <w:rPr>
          <w:rFonts w:ascii="Verdana" w:hAnsi="Verdana" w:cs="Arial"/>
          <w:b/>
          <w:bCs/>
          <w:i/>
          <w:iCs/>
        </w:rPr>
        <w:t>“3. ¿Es jurídicamente viable que obras financiadas por entidades del orden nacional o departamental, y/o ejecutadas por entidades como EDESA S.A. E.S.P., sean transferidas al Municipio de Villavicencio y, posteriormente, incorporadas patrimonialmente a favor de la EAAV E.S.P.”</w:t>
      </w:r>
    </w:p>
    <w:p w14:paraId="2FF6CDC4" w14:textId="77777777" w:rsidR="00F73CB9" w:rsidRPr="00D61AFE" w:rsidRDefault="00F73CB9" w:rsidP="00AF4242">
      <w:pPr>
        <w:jc w:val="both"/>
        <w:rPr>
          <w:rFonts w:ascii="Verdana" w:hAnsi="Verdana" w:cs="Arial"/>
        </w:rPr>
      </w:pPr>
    </w:p>
    <w:p w14:paraId="5094046A" w14:textId="77777777" w:rsidR="001718CA" w:rsidRPr="00D61AFE" w:rsidRDefault="00F73CB9" w:rsidP="00AF4242">
      <w:pPr>
        <w:jc w:val="both"/>
        <w:rPr>
          <w:rFonts w:ascii="Verdana" w:hAnsi="Verdana" w:cs="Arial"/>
        </w:rPr>
      </w:pPr>
      <w:r w:rsidRPr="00D61AFE">
        <w:rPr>
          <w:rFonts w:ascii="Verdana" w:hAnsi="Verdana" w:cs="Arial"/>
        </w:rPr>
        <w:t xml:space="preserve">La viabilidad jurídica de las transferencias patrimoniales de bienes entre entidades públicas, así como los actos de incorporación al patrimonio de una empresa industrial y comercial del Estado, se rigen por las normas presupuestales, contractuales, contables y de gestión de bienes públicos aplicables a cada entidad, materia que excede la competencia regulatoria de esta Comisión y cuya valoración corresponde a las autoridades competentes. </w:t>
      </w:r>
    </w:p>
    <w:p w14:paraId="422A1AA6" w14:textId="77777777" w:rsidR="001718CA" w:rsidRPr="00D61AFE" w:rsidRDefault="001718CA" w:rsidP="00AF4242">
      <w:pPr>
        <w:jc w:val="both"/>
        <w:rPr>
          <w:rFonts w:ascii="Verdana" w:hAnsi="Verdana" w:cs="Arial"/>
        </w:rPr>
      </w:pPr>
    </w:p>
    <w:p w14:paraId="3E8C348A" w14:textId="1C26135D" w:rsidR="00F73CB9" w:rsidRPr="00D61AFE" w:rsidRDefault="00F73CB9" w:rsidP="00AF4242">
      <w:pPr>
        <w:spacing w:after="120"/>
        <w:jc w:val="both"/>
        <w:rPr>
          <w:rFonts w:ascii="Verdana" w:hAnsi="Verdana" w:cs="Arial"/>
        </w:rPr>
      </w:pPr>
      <w:r w:rsidRPr="00D61AFE">
        <w:rPr>
          <w:rFonts w:ascii="Verdana" w:hAnsi="Verdana" w:cs="Arial"/>
        </w:rPr>
        <w:t>Sin perjuicio de lo anterior, desde el punto de vista estrictamente tarifario, la existencia de una cadena de transferencias entre entidades públicas no altera la regla aplicable: cualquiera sea el número de transferencias intermedias, el valor de los activos financiados con recursos públicos aportados bajo la condición del artículo 87.9 de la Ley 142 de 1994</w:t>
      </w:r>
      <w:r w:rsidR="00C338F8" w:rsidRPr="00D61AFE">
        <w:rPr>
          <w:rFonts w:ascii="Verdana" w:hAnsi="Verdana" w:cs="Arial"/>
        </w:rPr>
        <w:t>,</w:t>
      </w:r>
      <w:r w:rsidRPr="00D61AFE">
        <w:rPr>
          <w:rFonts w:ascii="Verdana" w:hAnsi="Verdana" w:cs="Arial"/>
        </w:rPr>
        <w:t xml:space="preserve"> no puede trasladarse a los usuarios a través de la tarifa con excepción de la enajenación o capitalización de la empresa prestadora. </w:t>
      </w:r>
    </w:p>
    <w:p w14:paraId="7D5BD35D" w14:textId="77777777" w:rsidR="001718CA" w:rsidRPr="00D61AFE" w:rsidRDefault="001718CA" w:rsidP="00AF4242">
      <w:pPr>
        <w:jc w:val="both"/>
        <w:rPr>
          <w:rFonts w:ascii="Verdana" w:hAnsi="Verdana" w:cs="Arial"/>
          <w:b/>
          <w:bCs/>
          <w:i/>
          <w:iCs/>
        </w:rPr>
      </w:pPr>
    </w:p>
    <w:p w14:paraId="581C5CA1" w14:textId="644D1CEE" w:rsidR="00F73CB9" w:rsidRPr="00D61AFE" w:rsidRDefault="00F73CB9" w:rsidP="00AF4242">
      <w:pPr>
        <w:ind w:left="284"/>
        <w:jc w:val="both"/>
        <w:rPr>
          <w:rFonts w:ascii="Verdana" w:hAnsi="Verdana" w:cs="Arial"/>
        </w:rPr>
      </w:pPr>
      <w:r w:rsidRPr="00D61AFE">
        <w:rPr>
          <w:rFonts w:ascii="Verdana" w:hAnsi="Verdana" w:cs="Arial"/>
          <w:b/>
          <w:bCs/>
          <w:i/>
          <w:iCs/>
        </w:rPr>
        <w:t>“4. En caso de ser viable el escenario anterior, ¿cuál debería ser el tratamiento regulatorio, patrimonial, contable y tarifario aplicable a dichos activos para evitar escenarios de doble recuperación de inversiones vía tarifa?”</w:t>
      </w:r>
    </w:p>
    <w:p w14:paraId="7BB33903" w14:textId="77777777" w:rsidR="00F73CB9" w:rsidRPr="00D61AFE" w:rsidRDefault="00F73CB9" w:rsidP="00AF4242">
      <w:pPr>
        <w:jc w:val="both"/>
        <w:rPr>
          <w:rFonts w:ascii="Verdana" w:hAnsi="Verdana" w:cs="Arial"/>
        </w:rPr>
      </w:pPr>
    </w:p>
    <w:p w14:paraId="732748A4" w14:textId="46C88F1F" w:rsidR="00F73CB9" w:rsidRPr="00D61AFE" w:rsidRDefault="00F73CB9" w:rsidP="00AF4242">
      <w:pPr>
        <w:jc w:val="both"/>
        <w:rPr>
          <w:rFonts w:ascii="Verdana" w:hAnsi="Verdana" w:cs="Arial"/>
        </w:rPr>
      </w:pPr>
      <w:r w:rsidRPr="00D61AFE">
        <w:rPr>
          <w:rFonts w:ascii="Verdana" w:hAnsi="Verdana" w:cs="Arial"/>
        </w:rPr>
        <w:t xml:space="preserve">El tratamiento que evita la doble recuperación consiste en que la persona prestadora identifique de manera expresa, dentro de los activos en uso que opera, el valor correspondiente a los aportes bajo condición y lo excluya de la Base de Capital Regulada y, por consiguiente, del CMI, conforme al literal b. del numeral i. de la sección B del artículo 2.1.2.1.3.5.18 de la Resolución CRA 943 de 2021. </w:t>
      </w:r>
    </w:p>
    <w:p w14:paraId="29EB4423" w14:textId="77777777" w:rsidR="00F73CB9" w:rsidRPr="00D61AFE" w:rsidRDefault="00F73CB9" w:rsidP="00AF4242">
      <w:pPr>
        <w:jc w:val="both"/>
        <w:rPr>
          <w:rFonts w:ascii="Verdana" w:hAnsi="Verdana" w:cs="Arial"/>
        </w:rPr>
      </w:pPr>
    </w:p>
    <w:p w14:paraId="0F84977B" w14:textId="77777777" w:rsidR="00397854" w:rsidRPr="00D61AFE" w:rsidRDefault="00F73CB9" w:rsidP="00AF4242">
      <w:pPr>
        <w:jc w:val="both"/>
        <w:rPr>
          <w:rFonts w:ascii="Verdana" w:hAnsi="Verdana" w:cs="Arial"/>
        </w:rPr>
      </w:pPr>
      <w:r w:rsidRPr="00D61AFE">
        <w:rPr>
          <w:rFonts w:ascii="Verdana" w:hAnsi="Verdana" w:cs="Arial"/>
        </w:rPr>
        <w:t xml:space="preserve">Desde la perspectiva patrimonial y contable, dichos activos deben registrarse diferenciando el valor financiado con recursos públicos aportados bajo condición, de modo que sea posible su exclusión del cálculo tarifario y su verificación por parte de </w:t>
      </w:r>
      <w:r w:rsidRPr="00D61AFE">
        <w:rPr>
          <w:rFonts w:ascii="Verdana" w:hAnsi="Verdana" w:cs="Arial"/>
        </w:rPr>
        <w:lastRenderedPageBreak/>
        <w:t>la Superintendencia de Servicios Públicos Domiciliarios</w:t>
      </w:r>
      <w:r w:rsidR="00397854" w:rsidRPr="00D61AFE">
        <w:rPr>
          <w:rFonts w:ascii="Verdana" w:hAnsi="Verdana" w:cs="Arial"/>
        </w:rPr>
        <w:t xml:space="preserve"> - SSPD</w:t>
      </w:r>
      <w:r w:rsidRPr="00D61AFE">
        <w:rPr>
          <w:rFonts w:ascii="Verdana" w:hAnsi="Verdana" w:cs="Arial"/>
        </w:rPr>
        <w:t>. Adicionalmente, cuando un aporte de los previstos en el artículo 87.9 reemplace un proyecto incluido en el Plan de Obras e Inversiones Regulado – POIR, la persona prestadora deberá descontar estos activos de la tarifa una vez entren en operación, informando de ello a la SSPD y a la CRA, conforme al artículo 2.1.2.1.3.5.19</w:t>
      </w:r>
      <w:r w:rsidR="002853E3" w:rsidRPr="00D61AFE">
        <w:rPr>
          <w:rFonts w:ascii="Verdana" w:hAnsi="Verdana" w:cs="Arial"/>
        </w:rPr>
        <w:t xml:space="preserve"> de la misma resolución</w:t>
      </w:r>
      <w:r w:rsidRPr="00D61AFE">
        <w:rPr>
          <w:rFonts w:ascii="Verdana" w:hAnsi="Verdana" w:cs="Arial"/>
        </w:rPr>
        <w:t>.</w:t>
      </w:r>
      <w:r w:rsidR="002853E3" w:rsidRPr="00D61AFE">
        <w:rPr>
          <w:rFonts w:ascii="Verdana" w:hAnsi="Verdana" w:cs="Arial"/>
        </w:rPr>
        <w:t xml:space="preserve"> </w:t>
      </w:r>
      <w:r w:rsidRPr="00D61AFE">
        <w:rPr>
          <w:rFonts w:ascii="Verdana" w:hAnsi="Verdana" w:cs="Arial"/>
        </w:rPr>
        <w:t xml:space="preserve"> </w:t>
      </w:r>
    </w:p>
    <w:p w14:paraId="517C6EA0" w14:textId="77777777" w:rsidR="00397854" w:rsidRPr="00D61AFE" w:rsidRDefault="00397854" w:rsidP="00AF4242">
      <w:pPr>
        <w:jc w:val="both"/>
        <w:rPr>
          <w:rFonts w:ascii="Verdana" w:hAnsi="Verdana" w:cs="Arial"/>
        </w:rPr>
      </w:pPr>
    </w:p>
    <w:p w14:paraId="55330063" w14:textId="6CB406F9" w:rsidR="00F73CB9" w:rsidRPr="00D61AFE" w:rsidRDefault="00F73CB9" w:rsidP="00AF4242">
      <w:pPr>
        <w:spacing w:after="120"/>
        <w:jc w:val="both"/>
        <w:rPr>
          <w:rFonts w:ascii="Verdana" w:hAnsi="Verdana" w:cs="Arial"/>
        </w:rPr>
      </w:pPr>
      <w:r w:rsidRPr="00D61AFE">
        <w:rPr>
          <w:rFonts w:ascii="Verdana" w:hAnsi="Verdana" w:cs="Arial"/>
        </w:rPr>
        <w:t>En cuanto a la reposición y el mantenimiento de estos bienes, el régimen reconoce los costos asociados a su operación y a su eventual reposición y rehabilitación, sin que ello implique remunerar nuevamente el valor inicial financiado con recursos públicos.</w:t>
      </w:r>
    </w:p>
    <w:p w14:paraId="5DB333BD" w14:textId="77777777" w:rsidR="001718CA" w:rsidRPr="00D61AFE" w:rsidRDefault="001718CA" w:rsidP="00AF4242">
      <w:pPr>
        <w:jc w:val="both"/>
        <w:rPr>
          <w:rFonts w:ascii="Verdana" w:hAnsi="Verdana" w:cs="Arial"/>
          <w:b/>
          <w:bCs/>
          <w:i/>
          <w:iCs/>
        </w:rPr>
      </w:pPr>
    </w:p>
    <w:p w14:paraId="5089C91B" w14:textId="17276750" w:rsidR="002853E3" w:rsidRPr="00D61AFE" w:rsidRDefault="002853E3" w:rsidP="00AF4242">
      <w:pPr>
        <w:ind w:left="284"/>
        <w:jc w:val="both"/>
        <w:rPr>
          <w:rFonts w:ascii="Verdana" w:hAnsi="Verdana" w:cs="Arial"/>
        </w:rPr>
      </w:pPr>
      <w:r w:rsidRPr="00D61AFE">
        <w:rPr>
          <w:rFonts w:ascii="Verdana" w:hAnsi="Verdana" w:cs="Arial"/>
          <w:b/>
          <w:bCs/>
          <w:i/>
          <w:iCs/>
        </w:rPr>
        <w:t>“5. ¿La incorporación al CMI de activos financiados previamente con recursos públicos provenientes de otras entidades estatales podría constituir una doble recuperación de inversiones o un doble cobro a los usuarios?”</w:t>
      </w:r>
    </w:p>
    <w:p w14:paraId="61A0B408" w14:textId="77777777" w:rsidR="002853E3" w:rsidRPr="00D61AFE" w:rsidRDefault="002853E3" w:rsidP="00AF4242">
      <w:pPr>
        <w:jc w:val="both"/>
        <w:rPr>
          <w:rFonts w:ascii="Verdana" w:hAnsi="Verdana" w:cs="Arial"/>
        </w:rPr>
      </w:pPr>
    </w:p>
    <w:p w14:paraId="2C522AD2" w14:textId="4AF87D12" w:rsidR="002853E3" w:rsidRPr="00D61AFE" w:rsidRDefault="002853E3" w:rsidP="00AF4242">
      <w:pPr>
        <w:jc w:val="both"/>
        <w:rPr>
          <w:rFonts w:ascii="Verdana" w:hAnsi="Verdana" w:cs="Arial"/>
        </w:rPr>
      </w:pPr>
      <w:r w:rsidRPr="00D61AFE">
        <w:rPr>
          <w:rFonts w:ascii="Verdana" w:hAnsi="Verdana" w:cs="Arial"/>
        </w:rPr>
        <w:t xml:space="preserve">Sí. Incluir en el CMI el valor de activos que ya fueron financiados con recursos públicos aportados bajo condición configuraría precisamente el escenario que la Ley 142 de 1994 y el marco tarifario buscan evitar, por cuanto los usuarios estarían contribuyendo dos veces a la financiación del mismo activo: una primera vez a través de los recursos públicos (de origen tributario o presupuestal) con los que se financió la obra, y una segunda vez a través de la tarifa. Por esta razón, el artículo 87.9 de la Ley </w:t>
      </w:r>
      <w:r w:rsidR="00332EE5" w:rsidRPr="00D61AFE">
        <w:rPr>
          <w:rFonts w:ascii="Verdana" w:hAnsi="Verdana" w:cs="Arial"/>
        </w:rPr>
        <w:t>ibidem</w:t>
      </w:r>
      <w:r w:rsidRPr="00D61AFE">
        <w:rPr>
          <w:rFonts w:ascii="Verdana" w:hAnsi="Verdana" w:cs="Arial"/>
        </w:rPr>
        <w:t xml:space="preserve"> y el literal b del numeral i. de la sección B del artículo 2.1.2.1.3.5.18 de la Resolución CRA 943 de 2021</w:t>
      </w:r>
      <w:r w:rsidR="00332EE5" w:rsidRPr="00D61AFE">
        <w:rPr>
          <w:rFonts w:ascii="Verdana" w:hAnsi="Verdana" w:cs="Arial"/>
        </w:rPr>
        <w:t>,</w:t>
      </w:r>
      <w:r w:rsidRPr="00D61AFE">
        <w:rPr>
          <w:rFonts w:ascii="Verdana" w:hAnsi="Verdana" w:cs="Arial"/>
        </w:rPr>
        <w:t xml:space="preserve"> excluyen del cálculo tarifario el valor de los activos aportados bajo condición, garantizando que la tarifa solo remunere las inversiones efectivamente sufragadas por la persona prestadora con recursos propios.</w:t>
      </w:r>
    </w:p>
    <w:p w14:paraId="6B7D99F1" w14:textId="77777777" w:rsidR="002853E3" w:rsidRPr="00D61AFE" w:rsidRDefault="002853E3" w:rsidP="00AF4242">
      <w:pPr>
        <w:jc w:val="both"/>
        <w:rPr>
          <w:rFonts w:ascii="Verdana" w:hAnsi="Verdana" w:cs="Arial"/>
        </w:rPr>
      </w:pPr>
    </w:p>
    <w:p w14:paraId="6C4DB87A" w14:textId="5124A5F2" w:rsidR="002853E3" w:rsidRPr="00D61AFE" w:rsidRDefault="002853E3" w:rsidP="00AF4242">
      <w:pPr>
        <w:jc w:val="both"/>
        <w:rPr>
          <w:rFonts w:ascii="Verdana" w:hAnsi="Verdana" w:cs="Arial"/>
        </w:rPr>
      </w:pPr>
      <w:r w:rsidRPr="00D61AFE">
        <w:rPr>
          <w:rFonts w:ascii="Verdana" w:hAnsi="Verdana" w:cs="Arial"/>
        </w:rPr>
        <w:t>Por otro lado, la excepción del artículo 87.9 de la Ley 142 de 1994 reconoce que la enajenación y la capitalización no son subsidios, sino operaciones con contraprestación patrimonial:</w:t>
      </w:r>
      <w:r w:rsidR="00332EE5" w:rsidRPr="00D61AFE">
        <w:rPr>
          <w:rFonts w:ascii="Verdana" w:hAnsi="Verdana" w:cs="Arial"/>
        </w:rPr>
        <w:t xml:space="preserve"> e</w:t>
      </w:r>
      <w:r w:rsidRPr="00D61AFE">
        <w:rPr>
          <w:rFonts w:ascii="Verdana" w:hAnsi="Verdana" w:cs="Arial"/>
        </w:rPr>
        <w:t>n la enajenación, la entidad pública transfiere el bien de manera onerosa</w:t>
      </w:r>
      <w:r w:rsidR="00332EE5" w:rsidRPr="00D61AFE">
        <w:rPr>
          <w:rFonts w:ascii="Verdana" w:hAnsi="Verdana" w:cs="Arial"/>
        </w:rPr>
        <w:t xml:space="preserve">, es decir, </w:t>
      </w:r>
      <w:r w:rsidRPr="00D61AFE">
        <w:rPr>
          <w:rFonts w:ascii="Verdana" w:hAnsi="Verdana" w:cs="Arial"/>
        </w:rPr>
        <w:t>lo vende y recibe un pago</w:t>
      </w:r>
      <w:r w:rsidR="00332EE5" w:rsidRPr="00D61AFE">
        <w:rPr>
          <w:rFonts w:ascii="Verdana" w:hAnsi="Verdana" w:cs="Arial"/>
        </w:rPr>
        <w:t>; e</w:t>
      </w:r>
      <w:r w:rsidRPr="00D61AFE">
        <w:rPr>
          <w:rFonts w:ascii="Verdana" w:hAnsi="Verdana" w:cs="Arial"/>
        </w:rPr>
        <w:t>n la capitalización, la entidad aporta el bien como capital y, a cambio, recibe una participación patrimonial en la empresa (acciones o cuotas)</w:t>
      </w:r>
      <w:r w:rsidR="00332EE5" w:rsidRPr="00D61AFE">
        <w:rPr>
          <w:rFonts w:ascii="Verdana" w:hAnsi="Verdana" w:cs="Arial"/>
        </w:rPr>
        <w:t>, esto es,</w:t>
      </w:r>
      <w:r w:rsidRPr="00D61AFE">
        <w:rPr>
          <w:rFonts w:ascii="Verdana" w:hAnsi="Verdana" w:cs="Arial"/>
        </w:rPr>
        <w:t xml:space="preserve"> se convierte en socio o accionista. </w:t>
      </w:r>
    </w:p>
    <w:p w14:paraId="705BBED0" w14:textId="77777777" w:rsidR="002853E3" w:rsidRPr="00D61AFE" w:rsidRDefault="002853E3" w:rsidP="00AF4242">
      <w:pPr>
        <w:jc w:val="both"/>
        <w:rPr>
          <w:rFonts w:ascii="Verdana" w:hAnsi="Verdana" w:cs="Arial"/>
        </w:rPr>
      </w:pPr>
    </w:p>
    <w:p w14:paraId="091013D6" w14:textId="6A970A5A" w:rsidR="002853E3" w:rsidRPr="00D61AFE" w:rsidRDefault="002853E3" w:rsidP="00AF4242">
      <w:pPr>
        <w:spacing w:after="120"/>
        <w:jc w:val="both"/>
        <w:rPr>
          <w:rFonts w:ascii="Verdana" w:hAnsi="Verdana" w:cs="Arial"/>
        </w:rPr>
      </w:pPr>
      <w:r w:rsidRPr="00D61AFE">
        <w:rPr>
          <w:rFonts w:ascii="Verdana" w:hAnsi="Verdana" w:cs="Arial"/>
        </w:rPr>
        <w:t xml:space="preserve">En ambos casos existe una contraprestación </w:t>
      </w:r>
      <w:r w:rsidR="001718CA" w:rsidRPr="00D61AFE">
        <w:rPr>
          <w:rFonts w:ascii="Verdana" w:hAnsi="Verdana" w:cs="Arial"/>
        </w:rPr>
        <w:t>(</w:t>
      </w:r>
      <w:r w:rsidRPr="00D61AFE">
        <w:rPr>
          <w:rFonts w:ascii="Verdana" w:hAnsi="Verdana" w:cs="Arial"/>
        </w:rPr>
        <w:t>un precio o una participación accionaria</w:t>
      </w:r>
      <w:r w:rsidR="001718CA" w:rsidRPr="00D61AFE">
        <w:rPr>
          <w:rFonts w:ascii="Verdana" w:hAnsi="Verdana" w:cs="Arial"/>
        </w:rPr>
        <w:t>)</w:t>
      </w:r>
      <w:r w:rsidRPr="00D61AFE">
        <w:rPr>
          <w:rFonts w:ascii="Verdana" w:hAnsi="Verdana" w:cs="Arial"/>
        </w:rPr>
        <w:t xml:space="preserve">, de modo que desaparecen las dos razones que justificaban la regla general. </w:t>
      </w:r>
      <w:r w:rsidR="00262A02" w:rsidRPr="00D61AFE">
        <w:rPr>
          <w:rFonts w:ascii="Verdana" w:hAnsi="Verdana" w:cs="Arial"/>
        </w:rPr>
        <w:t>C</w:t>
      </w:r>
      <w:r w:rsidRPr="00D61AFE">
        <w:rPr>
          <w:rFonts w:ascii="Verdana" w:hAnsi="Verdana" w:cs="Arial"/>
        </w:rPr>
        <w:t xml:space="preserve">uando el bien se incorpora como capital, debe ser remunerado como cualquier otro capital invertido en la empresa, en aplicación del criterio de suficiencia financiera del artículo 87 de la Ley 142 de 1994. Excluirlo de la tarifa significaría que </w:t>
      </w:r>
      <w:r w:rsidRPr="00D61AFE">
        <w:rPr>
          <w:rFonts w:ascii="Verdana" w:hAnsi="Verdana" w:cs="Arial"/>
        </w:rPr>
        <w:lastRenderedPageBreak/>
        <w:t>el capital aportado por un socio público no obtendría rentabilidad ni recuperación, lo que lo discriminaría frente al capital de cualquier otro inversionista y desincentivaría la inversión pública en el sector.</w:t>
      </w:r>
    </w:p>
    <w:p w14:paraId="2703AF82" w14:textId="77777777" w:rsidR="002853E3" w:rsidRPr="00D61AFE" w:rsidRDefault="002853E3" w:rsidP="00AF4242">
      <w:pPr>
        <w:jc w:val="both"/>
        <w:rPr>
          <w:rFonts w:ascii="Verdana" w:hAnsi="Verdana" w:cs="Arial"/>
        </w:rPr>
      </w:pPr>
    </w:p>
    <w:p w14:paraId="587DD770" w14:textId="3F7507AC" w:rsidR="002853E3" w:rsidRPr="00D61AFE" w:rsidRDefault="0035282E" w:rsidP="00AF4242">
      <w:pPr>
        <w:ind w:left="284"/>
        <w:jc w:val="both"/>
        <w:rPr>
          <w:rFonts w:ascii="Verdana" w:hAnsi="Verdana" w:cs="Arial"/>
        </w:rPr>
      </w:pPr>
      <w:r w:rsidRPr="00D61AFE">
        <w:rPr>
          <w:rFonts w:ascii="Verdana" w:hAnsi="Verdana" w:cs="Arial"/>
          <w:b/>
          <w:bCs/>
          <w:i/>
          <w:iCs/>
        </w:rPr>
        <w:t>“6. ¿Existen restricciones regulatorias o metodológicas frente al reconocimiento tarifario de activos financiados previamente con recursos públicos, recursos no recuperables o esquemas de cofinanciación estatal?”</w:t>
      </w:r>
    </w:p>
    <w:p w14:paraId="64A6BD38" w14:textId="77777777" w:rsidR="0035282E" w:rsidRPr="00D61AFE" w:rsidRDefault="0035282E" w:rsidP="00AF4242">
      <w:pPr>
        <w:jc w:val="both"/>
        <w:rPr>
          <w:rFonts w:ascii="Verdana" w:hAnsi="Verdana" w:cs="Arial"/>
        </w:rPr>
      </w:pPr>
    </w:p>
    <w:p w14:paraId="7A17A440" w14:textId="77777777" w:rsidR="00AF4242" w:rsidRPr="00D61AFE" w:rsidRDefault="0035282E" w:rsidP="00AF4242">
      <w:pPr>
        <w:jc w:val="both"/>
        <w:rPr>
          <w:rFonts w:ascii="Verdana" w:hAnsi="Verdana" w:cs="Arial"/>
        </w:rPr>
      </w:pPr>
      <w:r w:rsidRPr="00D61AFE">
        <w:rPr>
          <w:rFonts w:ascii="Verdana" w:hAnsi="Verdana" w:cs="Arial"/>
        </w:rPr>
        <w:t xml:space="preserve">El marco tarifario establece restricciones expresas: </w:t>
      </w:r>
      <w:r w:rsidR="00984533" w:rsidRPr="00D61AFE">
        <w:rPr>
          <w:rFonts w:ascii="Verdana" w:hAnsi="Verdana" w:cs="Arial"/>
        </w:rPr>
        <w:t>l</w:t>
      </w:r>
      <w:r w:rsidRPr="00D61AFE">
        <w:rPr>
          <w:rFonts w:ascii="Verdana" w:hAnsi="Verdana" w:cs="Arial"/>
        </w:rPr>
        <w:t>a primera es la exclusión de los activos aportados bajo la condición del artículo 87.9 de la Ley 142 de 1994, según el literal b. del numeral i. de la sección B del artículo 2.1.2.1.3.5.18</w:t>
      </w:r>
      <w:r w:rsidR="00984533" w:rsidRPr="00D61AFE">
        <w:rPr>
          <w:rFonts w:ascii="Verdana" w:hAnsi="Verdana" w:cs="Arial"/>
        </w:rPr>
        <w:t>;</w:t>
      </w:r>
      <w:r w:rsidRPr="00D61AFE">
        <w:rPr>
          <w:rFonts w:ascii="Verdana" w:hAnsi="Verdana" w:cs="Arial"/>
        </w:rPr>
        <w:t xml:space="preserve"> </w:t>
      </w:r>
      <w:r w:rsidR="00984533" w:rsidRPr="00D61AFE">
        <w:rPr>
          <w:rFonts w:ascii="Verdana" w:hAnsi="Verdana" w:cs="Arial"/>
        </w:rPr>
        <w:t>l</w:t>
      </w:r>
      <w:r w:rsidRPr="00D61AFE">
        <w:rPr>
          <w:rFonts w:ascii="Verdana" w:hAnsi="Verdana" w:cs="Arial"/>
        </w:rPr>
        <w:t>a segunda es la exclusión de los activos entregados por urbanizadores y constructores (literal d</w:t>
      </w:r>
      <w:r w:rsidR="001718CA" w:rsidRPr="00D61AFE">
        <w:rPr>
          <w:rFonts w:ascii="Verdana" w:hAnsi="Verdana" w:cs="Arial"/>
        </w:rPr>
        <w:t>.</w:t>
      </w:r>
      <w:r w:rsidRPr="00D61AFE">
        <w:rPr>
          <w:rFonts w:ascii="Verdana" w:hAnsi="Verdana" w:cs="Arial"/>
        </w:rPr>
        <w:t xml:space="preserve"> del numeral i. del mismo artículo)</w:t>
      </w:r>
      <w:r w:rsidR="00984533" w:rsidRPr="00D61AFE">
        <w:rPr>
          <w:rFonts w:ascii="Verdana" w:hAnsi="Verdana" w:cs="Arial"/>
        </w:rPr>
        <w:t>;</w:t>
      </w:r>
      <w:r w:rsidRPr="00D61AFE">
        <w:rPr>
          <w:rFonts w:ascii="Verdana" w:hAnsi="Verdana" w:cs="Arial"/>
        </w:rPr>
        <w:t xml:space="preserve"> </w:t>
      </w:r>
      <w:r w:rsidR="00984533" w:rsidRPr="00D61AFE">
        <w:rPr>
          <w:rFonts w:ascii="Verdana" w:hAnsi="Verdana" w:cs="Arial"/>
        </w:rPr>
        <w:t>l</w:t>
      </w:r>
      <w:r w:rsidRPr="00D61AFE">
        <w:rPr>
          <w:rFonts w:ascii="Verdana" w:hAnsi="Verdana" w:cs="Arial"/>
        </w:rPr>
        <w:t>a tercera opera en los esquemas de cofinanciación y en los proyectos multipropósito</w:t>
      </w:r>
      <w:r w:rsidR="00984533" w:rsidRPr="00D61AFE">
        <w:rPr>
          <w:rFonts w:ascii="Verdana" w:hAnsi="Verdana" w:cs="Arial"/>
        </w:rPr>
        <w:t>,</w:t>
      </w:r>
      <w:r w:rsidRPr="00D61AFE">
        <w:rPr>
          <w:rFonts w:ascii="Verdana" w:hAnsi="Verdana" w:cs="Arial"/>
        </w:rPr>
        <w:t xml:space="preserve"> </w:t>
      </w:r>
      <w:r w:rsidR="00984533" w:rsidRPr="00D61AFE">
        <w:rPr>
          <w:rFonts w:ascii="Verdana" w:hAnsi="Verdana" w:cs="Arial"/>
        </w:rPr>
        <w:t xml:space="preserve">en cuyo </w:t>
      </w:r>
      <w:r w:rsidRPr="00D61AFE">
        <w:rPr>
          <w:rFonts w:ascii="Verdana" w:hAnsi="Verdana" w:cs="Arial"/>
        </w:rPr>
        <w:t xml:space="preserve">caso solo resulta reconocible la parte de la inversión efectivamente financiada con recursos propios de la persona prestadora y que tenga relación directa con la prestación de los servicios, debiendo aplicarse el criterio de proporcionalidad previsto en el literal f. del numeral i. del mismo artículo. </w:t>
      </w:r>
    </w:p>
    <w:p w14:paraId="7A1E8A59" w14:textId="77777777" w:rsidR="00AF4242" w:rsidRPr="00D61AFE" w:rsidRDefault="00AF4242" w:rsidP="00AF4242">
      <w:pPr>
        <w:jc w:val="both"/>
        <w:rPr>
          <w:rFonts w:ascii="Verdana" w:hAnsi="Verdana" w:cs="Arial"/>
        </w:rPr>
      </w:pPr>
    </w:p>
    <w:p w14:paraId="07D8BECF" w14:textId="78053065" w:rsidR="0035282E" w:rsidRPr="00D61AFE" w:rsidRDefault="0035282E" w:rsidP="00AF4242">
      <w:pPr>
        <w:spacing w:after="120"/>
        <w:jc w:val="both"/>
        <w:rPr>
          <w:rFonts w:ascii="Verdana" w:hAnsi="Verdana" w:cs="Arial"/>
        </w:rPr>
      </w:pPr>
      <w:r w:rsidRPr="00D61AFE">
        <w:rPr>
          <w:rFonts w:ascii="Verdana" w:hAnsi="Verdana" w:cs="Arial"/>
        </w:rPr>
        <w:t>En consecuencia, cuando una obra se financia parcialmente con recursos públicos no recuperables y parcialmente con recursos del prestador, únicamente esta última porción puede incorporarse a la BCR para efectos de su remuneración.</w:t>
      </w:r>
    </w:p>
    <w:p w14:paraId="2A07F503" w14:textId="77777777" w:rsidR="001718CA" w:rsidRPr="00D61AFE" w:rsidRDefault="001718CA" w:rsidP="00AF4242">
      <w:pPr>
        <w:jc w:val="both"/>
        <w:rPr>
          <w:rFonts w:ascii="Verdana" w:hAnsi="Verdana" w:cs="Arial"/>
          <w:b/>
          <w:bCs/>
          <w:i/>
          <w:iCs/>
        </w:rPr>
      </w:pPr>
    </w:p>
    <w:p w14:paraId="11100761" w14:textId="508C1B81" w:rsidR="0035282E" w:rsidRPr="00D61AFE" w:rsidRDefault="0035282E" w:rsidP="00AF4242">
      <w:pPr>
        <w:ind w:left="284"/>
        <w:jc w:val="both"/>
        <w:rPr>
          <w:rFonts w:ascii="Verdana" w:hAnsi="Verdana" w:cs="Arial"/>
        </w:rPr>
      </w:pPr>
      <w:r w:rsidRPr="00D61AFE">
        <w:rPr>
          <w:rFonts w:ascii="Verdana" w:hAnsi="Verdana" w:cs="Arial"/>
          <w:b/>
          <w:bCs/>
          <w:i/>
          <w:iCs/>
        </w:rPr>
        <w:t>“7. ¿La capitalización o incorporación patrimonial de activos financiados con recursos públicos modifica la naturaleza de dichos recursos para efectos de su reconocimiento tarifario?”</w:t>
      </w:r>
    </w:p>
    <w:p w14:paraId="29B33C79" w14:textId="77777777" w:rsidR="0035282E" w:rsidRPr="00D61AFE" w:rsidRDefault="0035282E" w:rsidP="00AF4242">
      <w:pPr>
        <w:jc w:val="both"/>
        <w:rPr>
          <w:rFonts w:ascii="Verdana" w:hAnsi="Verdana" w:cs="Arial"/>
        </w:rPr>
      </w:pPr>
    </w:p>
    <w:p w14:paraId="2A449243" w14:textId="77777777" w:rsidR="00D85EA3" w:rsidRPr="00D61AFE" w:rsidRDefault="001718CA" w:rsidP="00AF4242">
      <w:pPr>
        <w:jc w:val="both"/>
        <w:rPr>
          <w:rFonts w:ascii="Verdana" w:hAnsi="Verdana" w:cs="Arial"/>
        </w:rPr>
      </w:pPr>
      <w:r w:rsidRPr="00D61AFE">
        <w:rPr>
          <w:rFonts w:ascii="Verdana" w:hAnsi="Verdana" w:cs="Arial"/>
        </w:rPr>
        <w:t xml:space="preserve">Como se señaló en la respuesta a la pregunta 5, cuando se trata de una verdadera operación de capitalización o de enajenación, la respuesta es afirmativa: el numeral 87.9 de la Ley 142 de 1994 establece de manera expresa que la regla de no inclusión tarifaria no resulta aplicable cuando se realice la enajenación o la capitalización de los bienes o derechos. Por </w:t>
      </w:r>
      <w:r w:rsidR="00D85EA3" w:rsidRPr="00D61AFE">
        <w:rPr>
          <w:rFonts w:ascii="Verdana" w:hAnsi="Verdana" w:cs="Arial"/>
        </w:rPr>
        <w:t xml:space="preserve">lo </w:t>
      </w:r>
      <w:r w:rsidRPr="00D61AFE">
        <w:rPr>
          <w:rFonts w:ascii="Verdana" w:hAnsi="Verdana" w:cs="Arial"/>
        </w:rPr>
        <w:t xml:space="preserve">tanto, cuando la entidad pública aporta el activo como capital y recibe a cambio una participación patrimonial en la empresa o lo transfiere a título oneroso, el bien deja de tener la naturaleza de aporte bajo condición y se asimila a capital invertido, susceptible de remuneración dentro del CMI. </w:t>
      </w:r>
    </w:p>
    <w:p w14:paraId="10C1473B" w14:textId="77777777" w:rsidR="00D85EA3" w:rsidRPr="00D61AFE" w:rsidRDefault="00D85EA3" w:rsidP="00AF4242">
      <w:pPr>
        <w:jc w:val="both"/>
        <w:rPr>
          <w:rFonts w:ascii="Verdana" w:hAnsi="Verdana" w:cs="Arial"/>
        </w:rPr>
      </w:pPr>
    </w:p>
    <w:p w14:paraId="74A50743" w14:textId="23ABCC17" w:rsidR="001718CA" w:rsidRPr="00D61AFE" w:rsidRDefault="001718CA" w:rsidP="00AF4242">
      <w:pPr>
        <w:jc w:val="both"/>
        <w:rPr>
          <w:rFonts w:ascii="Verdana" w:hAnsi="Verdana" w:cs="Arial"/>
        </w:rPr>
      </w:pPr>
      <w:r w:rsidRPr="00D61AFE">
        <w:rPr>
          <w:rFonts w:ascii="Verdana" w:hAnsi="Verdana" w:cs="Arial"/>
        </w:rPr>
        <w:t xml:space="preserve">La razón es que en estos casos la entidad no actúa como otorgante de un subsidio a la oferta, sino como inversionista o enajenante que obtiene una contraprestación patrimonial, de modo que su capital debe remunerarse como el de cualquier otro </w:t>
      </w:r>
      <w:r w:rsidRPr="00D61AFE">
        <w:rPr>
          <w:rFonts w:ascii="Verdana" w:hAnsi="Verdana" w:cs="Arial"/>
        </w:rPr>
        <w:lastRenderedPageBreak/>
        <w:t>inversionista, en aplicación del criterio de suficiencia financiera del artículo 87 de la Ley 142 de 1994.</w:t>
      </w:r>
    </w:p>
    <w:p w14:paraId="530F603D" w14:textId="77777777" w:rsidR="001718CA" w:rsidRPr="00D61AFE" w:rsidRDefault="001718CA" w:rsidP="00AF4242">
      <w:pPr>
        <w:jc w:val="both"/>
        <w:rPr>
          <w:rFonts w:ascii="Verdana" w:hAnsi="Verdana" w:cs="Arial"/>
        </w:rPr>
      </w:pPr>
    </w:p>
    <w:p w14:paraId="20EC3421" w14:textId="61D650BD" w:rsidR="0035282E" w:rsidRPr="00D61AFE" w:rsidRDefault="001718CA" w:rsidP="00AF4242">
      <w:pPr>
        <w:spacing w:after="120"/>
        <w:jc w:val="both"/>
        <w:rPr>
          <w:rFonts w:ascii="Verdana" w:hAnsi="Verdana" w:cs="Arial"/>
        </w:rPr>
      </w:pPr>
      <w:r w:rsidRPr="00D61AFE">
        <w:rPr>
          <w:rFonts w:ascii="Verdana" w:hAnsi="Verdana" w:cs="Arial"/>
        </w:rPr>
        <w:t xml:space="preserve">Cosa distinta es el mero registro o capitalización contable de un activo que fue recibido gratuitamente bajo condición: esa anotación contable no transforma su naturaleza ni habilita su remuneración, pues no media contraprestación alguna en favor de la entidad aportante, y su valor permanece excluido del cálculo de las tarifas. </w:t>
      </w:r>
    </w:p>
    <w:p w14:paraId="606D548B" w14:textId="77777777" w:rsidR="0035282E" w:rsidRPr="00D61AFE" w:rsidRDefault="0035282E" w:rsidP="00AF4242">
      <w:pPr>
        <w:jc w:val="both"/>
        <w:rPr>
          <w:rFonts w:ascii="Verdana" w:hAnsi="Verdana" w:cs="Arial"/>
        </w:rPr>
      </w:pPr>
    </w:p>
    <w:p w14:paraId="6693B8F7" w14:textId="463818D4" w:rsidR="001718CA" w:rsidRPr="00D61AFE" w:rsidRDefault="001718CA" w:rsidP="00AF4242">
      <w:pPr>
        <w:ind w:left="284"/>
        <w:jc w:val="both"/>
        <w:rPr>
          <w:rFonts w:ascii="Verdana" w:hAnsi="Verdana" w:cs="Arial"/>
        </w:rPr>
      </w:pPr>
      <w:r w:rsidRPr="00D61AFE">
        <w:rPr>
          <w:rFonts w:ascii="Verdana" w:hAnsi="Verdana" w:cs="Arial"/>
          <w:b/>
          <w:bCs/>
          <w:i/>
          <w:iCs/>
        </w:rPr>
        <w:t>“8. ¿Qué mecanismos regulatorios o metodológicos existen actualmente para evitar escenarios de doble recuperación de inversiones dentro del régimen tarifario de los servicios públicos domiciliarios?”</w:t>
      </w:r>
    </w:p>
    <w:p w14:paraId="443D6F93" w14:textId="77777777" w:rsidR="001718CA" w:rsidRPr="00D61AFE" w:rsidRDefault="001718CA" w:rsidP="00AF4242">
      <w:pPr>
        <w:jc w:val="both"/>
        <w:rPr>
          <w:rFonts w:ascii="Verdana" w:hAnsi="Verdana" w:cs="Arial"/>
        </w:rPr>
      </w:pPr>
    </w:p>
    <w:p w14:paraId="135B8E8C" w14:textId="77777777" w:rsidR="00B30D7D" w:rsidRPr="00D61AFE" w:rsidRDefault="001718CA" w:rsidP="00AF4242">
      <w:pPr>
        <w:jc w:val="both"/>
        <w:rPr>
          <w:rFonts w:ascii="Verdana" w:hAnsi="Verdana" w:cs="Arial"/>
        </w:rPr>
      </w:pPr>
      <w:r w:rsidRPr="00D61AFE">
        <w:rPr>
          <w:rFonts w:ascii="Verdana" w:hAnsi="Verdana" w:cs="Arial"/>
        </w:rPr>
        <w:t xml:space="preserve">El régimen tarifario contenido en la Resolución CRA 943 de 2021 prevé varios mecanismos orientados a evitar la doble recuperación de inversiones: </w:t>
      </w:r>
    </w:p>
    <w:p w14:paraId="359CE97D" w14:textId="77777777" w:rsidR="00B30D7D" w:rsidRPr="00D61AFE" w:rsidRDefault="00B30D7D" w:rsidP="00AF4242">
      <w:pPr>
        <w:jc w:val="both"/>
        <w:rPr>
          <w:rFonts w:ascii="Verdana" w:hAnsi="Verdana" w:cs="Arial"/>
        </w:rPr>
      </w:pPr>
    </w:p>
    <w:p w14:paraId="6C3BE28D" w14:textId="5E0546BF" w:rsidR="00B30D7D" w:rsidRPr="00D61AFE" w:rsidRDefault="00B30D7D" w:rsidP="00AF4242">
      <w:pPr>
        <w:pStyle w:val="Prrafodelista"/>
        <w:numPr>
          <w:ilvl w:val="0"/>
          <w:numId w:val="9"/>
        </w:numPr>
        <w:ind w:left="851" w:hanging="425"/>
        <w:jc w:val="both"/>
        <w:rPr>
          <w:rFonts w:ascii="Verdana" w:hAnsi="Verdana" w:cs="Arial"/>
        </w:rPr>
      </w:pPr>
      <w:r w:rsidRPr="00D61AFE">
        <w:rPr>
          <w:rFonts w:ascii="Verdana" w:hAnsi="Verdana" w:cs="Arial"/>
        </w:rPr>
        <w:t>L</w:t>
      </w:r>
      <w:r w:rsidR="001718CA" w:rsidRPr="00D61AFE">
        <w:rPr>
          <w:rFonts w:ascii="Verdana" w:hAnsi="Verdana" w:cs="Arial"/>
        </w:rPr>
        <w:t>a exclusión de los activos aportados bajo condición y la obligación de la persona prestadora de identificar su valor dentro de los activos en uso que opera (en el numeral i. de la sección B del artículo 2.1.2.1.3.5.18)</w:t>
      </w:r>
      <w:r w:rsidRPr="00D61AFE">
        <w:rPr>
          <w:rFonts w:ascii="Verdana" w:hAnsi="Verdana" w:cs="Arial"/>
        </w:rPr>
        <w:t>.</w:t>
      </w:r>
      <w:r w:rsidR="001718CA" w:rsidRPr="00D61AFE">
        <w:rPr>
          <w:rFonts w:ascii="Verdana" w:hAnsi="Verdana" w:cs="Arial"/>
        </w:rPr>
        <w:t xml:space="preserve"> </w:t>
      </w:r>
    </w:p>
    <w:p w14:paraId="0FF787B3" w14:textId="5C86FA79" w:rsidR="00B30D7D" w:rsidRPr="00D61AFE" w:rsidRDefault="00B30D7D" w:rsidP="00AF4242">
      <w:pPr>
        <w:pStyle w:val="Prrafodelista"/>
        <w:numPr>
          <w:ilvl w:val="0"/>
          <w:numId w:val="9"/>
        </w:numPr>
        <w:ind w:left="851" w:hanging="425"/>
        <w:jc w:val="both"/>
        <w:rPr>
          <w:rFonts w:ascii="Verdana" w:hAnsi="Verdana" w:cs="Arial"/>
        </w:rPr>
      </w:pPr>
      <w:r w:rsidRPr="00D61AFE">
        <w:rPr>
          <w:rFonts w:ascii="Verdana" w:hAnsi="Verdana" w:cs="Arial"/>
        </w:rPr>
        <w:t>E</w:t>
      </w:r>
      <w:r w:rsidR="001718CA" w:rsidRPr="00D61AFE">
        <w:rPr>
          <w:rFonts w:ascii="Verdana" w:hAnsi="Verdana" w:cs="Arial"/>
        </w:rPr>
        <w:t xml:space="preserve">l cálculo de las variables de incorporación de activos a la BCR sin incluir aportes bajo condición (variable VAEO del artículo 2.1.2.1.3.5.10 y variable </w:t>
      </w:r>
      <w:proofErr w:type="spellStart"/>
      <w:r w:rsidR="001718CA" w:rsidRPr="00D61AFE">
        <w:rPr>
          <w:rFonts w:ascii="Verdana" w:hAnsi="Verdana" w:cs="Arial"/>
        </w:rPr>
        <w:t>VCost</w:t>
      </w:r>
      <w:proofErr w:type="spellEnd"/>
      <w:r w:rsidR="001718CA" w:rsidRPr="00D61AFE">
        <w:rPr>
          <w:rFonts w:ascii="Verdana" w:hAnsi="Verdana" w:cs="Arial"/>
        </w:rPr>
        <w:t xml:space="preserve"> del artículo 2.1.2.1.3.5.17)</w:t>
      </w:r>
      <w:r w:rsidRPr="00D61AFE">
        <w:rPr>
          <w:rFonts w:ascii="Verdana" w:hAnsi="Verdana" w:cs="Arial"/>
        </w:rPr>
        <w:t>.</w:t>
      </w:r>
      <w:r w:rsidR="001718CA" w:rsidRPr="00D61AFE">
        <w:rPr>
          <w:rFonts w:ascii="Verdana" w:hAnsi="Verdana" w:cs="Arial"/>
        </w:rPr>
        <w:t xml:space="preserve"> </w:t>
      </w:r>
    </w:p>
    <w:p w14:paraId="55AEE731" w14:textId="617A19EF" w:rsidR="00B30D7D" w:rsidRPr="00D61AFE" w:rsidRDefault="00B30D7D" w:rsidP="00AF4242">
      <w:pPr>
        <w:pStyle w:val="Prrafodelista"/>
        <w:numPr>
          <w:ilvl w:val="0"/>
          <w:numId w:val="9"/>
        </w:numPr>
        <w:ind w:left="851" w:hanging="425"/>
        <w:jc w:val="both"/>
        <w:rPr>
          <w:rFonts w:ascii="Verdana" w:hAnsi="Verdana" w:cs="Arial"/>
        </w:rPr>
      </w:pPr>
      <w:r w:rsidRPr="00D61AFE">
        <w:rPr>
          <w:rFonts w:ascii="Verdana" w:hAnsi="Verdana" w:cs="Arial"/>
        </w:rPr>
        <w:t>E</w:t>
      </w:r>
      <w:r w:rsidR="001718CA" w:rsidRPr="00D61AFE">
        <w:rPr>
          <w:rFonts w:ascii="Verdana" w:hAnsi="Verdana" w:cs="Arial"/>
        </w:rPr>
        <w:t>l descuento de la tarifa de los activos que, en virtud de un aporte del artículo 87.9, reemplacen proyectos del POIR, una vez entren en operación, con información a la SSPD y a la CRA (artículo 2.1.2.1.3.5.19)</w:t>
      </w:r>
      <w:r w:rsidRPr="00D61AFE">
        <w:rPr>
          <w:rFonts w:ascii="Verdana" w:hAnsi="Verdana" w:cs="Arial"/>
        </w:rPr>
        <w:t>.</w:t>
      </w:r>
      <w:r w:rsidR="001718CA" w:rsidRPr="00D61AFE">
        <w:rPr>
          <w:rFonts w:ascii="Verdana" w:hAnsi="Verdana" w:cs="Arial"/>
        </w:rPr>
        <w:t xml:space="preserve"> </w:t>
      </w:r>
    </w:p>
    <w:p w14:paraId="3731594D" w14:textId="79B50ACD" w:rsidR="00B30D7D" w:rsidRPr="00D61AFE" w:rsidRDefault="00B30D7D" w:rsidP="00AF4242">
      <w:pPr>
        <w:pStyle w:val="Prrafodelista"/>
        <w:numPr>
          <w:ilvl w:val="0"/>
          <w:numId w:val="9"/>
        </w:numPr>
        <w:ind w:left="851" w:hanging="425"/>
        <w:jc w:val="both"/>
        <w:rPr>
          <w:rFonts w:ascii="Verdana" w:hAnsi="Verdana" w:cs="Arial"/>
        </w:rPr>
      </w:pPr>
      <w:r w:rsidRPr="00D61AFE">
        <w:rPr>
          <w:rFonts w:ascii="Verdana" w:hAnsi="Verdana" w:cs="Arial"/>
        </w:rPr>
        <w:t>L</w:t>
      </w:r>
      <w:r w:rsidR="001718CA" w:rsidRPr="00D61AFE">
        <w:rPr>
          <w:rFonts w:ascii="Verdana" w:hAnsi="Verdana" w:cs="Arial"/>
        </w:rPr>
        <w:t>a exclusión de los activos que no se encuentran en operación y de aquellos que no tienen pendiente un valor por remunerar, así como de los activos entregados por urbanizadores y constructores (artículo 2.1.2.1.3.5.18)</w:t>
      </w:r>
      <w:r w:rsidRPr="00D61AFE">
        <w:rPr>
          <w:rFonts w:ascii="Verdana" w:hAnsi="Verdana" w:cs="Arial"/>
        </w:rPr>
        <w:t>.</w:t>
      </w:r>
      <w:r w:rsidR="001718CA" w:rsidRPr="00D61AFE">
        <w:rPr>
          <w:rFonts w:ascii="Verdana" w:hAnsi="Verdana" w:cs="Arial"/>
        </w:rPr>
        <w:t xml:space="preserve"> </w:t>
      </w:r>
    </w:p>
    <w:p w14:paraId="1742BCAC" w14:textId="0699C02A" w:rsidR="001718CA" w:rsidRPr="00D61AFE" w:rsidRDefault="00B30D7D" w:rsidP="00AF4242">
      <w:pPr>
        <w:pStyle w:val="Prrafodelista"/>
        <w:numPr>
          <w:ilvl w:val="0"/>
          <w:numId w:val="9"/>
        </w:numPr>
        <w:ind w:left="851" w:hanging="425"/>
        <w:jc w:val="both"/>
        <w:rPr>
          <w:rFonts w:ascii="Verdana" w:hAnsi="Verdana" w:cs="Arial"/>
        </w:rPr>
      </w:pPr>
      <w:r w:rsidRPr="00D61AFE">
        <w:rPr>
          <w:rFonts w:ascii="Verdana" w:hAnsi="Verdana" w:cs="Arial"/>
        </w:rPr>
        <w:t>E</w:t>
      </w:r>
      <w:r w:rsidR="001718CA" w:rsidRPr="00D61AFE">
        <w:rPr>
          <w:rFonts w:ascii="Verdana" w:hAnsi="Verdana" w:cs="Arial"/>
        </w:rPr>
        <w:t xml:space="preserve">l reconocimiento únicamente del valor pendiente por recuperar de los activos, de manera que no se remuneren nuevamente inversiones ya recuperadas bajo metodologías anteriores; y vi) el criterio de proporcionalidad en proyectos multipropósito y de cofinanciación. </w:t>
      </w:r>
    </w:p>
    <w:p w14:paraId="7BF6ED27" w14:textId="77777777" w:rsidR="001718CA" w:rsidRPr="00D61AFE" w:rsidRDefault="001718CA" w:rsidP="00AF4242">
      <w:pPr>
        <w:jc w:val="both"/>
        <w:rPr>
          <w:rFonts w:ascii="Verdana" w:hAnsi="Verdana" w:cs="Arial"/>
        </w:rPr>
      </w:pPr>
    </w:p>
    <w:p w14:paraId="309DA4C4" w14:textId="272FAA75" w:rsidR="001718CA" w:rsidRPr="00D61AFE" w:rsidRDefault="001718CA" w:rsidP="00AF4242">
      <w:pPr>
        <w:jc w:val="both"/>
        <w:rPr>
          <w:rFonts w:ascii="Verdana" w:hAnsi="Verdana" w:cs="Arial"/>
        </w:rPr>
      </w:pPr>
      <w:r w:rsidRPr="00D61AFE">
        <w:rPr>
          <w:rFonts w:ascii="Verdana" w:hAnsi="Verdana" w:cs="Arial"/>
        </w:rPr>
        <w:t>A lo anterior se suma el ejercicio de las funciones de inspección, vigilancia y control de la Superintendencia de Servicios Públicos Domiciliarios - SSPD y el reporte de la información al Sistema Único de Información – SUI, que permiten verificar la correcta aplicación de estos mecanismos.</w:t>
      </w:r>
    </w:p>
    <w:p w14:paraId="55CF0EF8" w14:textId="77777777" w:rsidR="001718CA" w:rsidRPr="00D61AFE" w:rsidRDefault="001718CA" w:rsidP="00AF4242">
      <w:pPr>
        <w:jc w:val="both"/>
        <w:rPr>
          <w:rFonts w:ascii="Verdana" w:hAnsi="Verdana" w:cs="Arial"/>
        </w:rPr>
      </w:pPr>
    </w:p>
    <w:p w14:paraId="0C1012F4" w14:textId="5A6D7E07" w:rsidR="001718CA" w:rsidRPr="00D61AFE" w:rsidRDefault="001718CA" w:rsidP="00AF4242">
      <w:pPr>
        <w:jc w:val="both"/>
        <w:rPr>
          <w:rFonts w:ascii="Verdana" w:hAnsi="Verdana" w:cs="Arial"/>
        </w:rPr>
      </w:pPr>
      <w:r w:rsidRPr="00D61AFE">
        <w:rPr>
          <w:rFonts w:ascii="Verdana" w:hAnsi="Verdana" w:cs="Arial"/>
        </w:rPr>
        <w:t xml:space="preserve">Debe precisarse que estos mecanismos de exclusión operan respecto de los aportes gratuitos bajo condición. </w:t>
      </w:r>
      <w:r w:rsidR="00843FAB" w:rsidRPr="00D61AFE">
        <w:rPr>
          <w:rFonts w:ascii="Verdana" w:hAnsi="Verdana" w:cs="Arial"/>
        </w:rPr>
        <w:t>Se reitera que l</w:t>
      </w:r>
      <w:r w:rsidRPr="00D61AFE">
        <w:rPr>
          <w:rFonts w:ascii="Verdana" w:hAnsi="Verdana" w:cs="Arial"/>
        </w:rPr>
        <w:t xml:space="preserve">os activos incorporados mediante </w:t>
      </w:r>
      <w:r w:rsidRPr="00D61AFE">
        <w:rPr>
          <w:rFonts w:ascii="Verdana" w:hAnsi="Verdana" w:cs="Arial"/>
        </w:rPr>
        <w:lastRenderedPageBreak/>
        <w:t>enajenación o capitalización, al mediar una contraprestación patrimonial en favor de la entidad aportante, se reconocen como capital invertido remunerable conforme a la excepción del numeral 87.9 de la Ley 142 de 1994, sin que ello configure doble recuperación, siempre que se verifique la efectividad de la contraprestación y que el valor no haya sido trasladado a los usuarios por otra vía.</w:t>
      </w:r>
    </w:p>
    <w:p w14:paraId="0F6A31BC" w14:textId="77777777" w:rsidR="001718CA" w:rsidRPr="00D61AFE" w:rsidRDefault="001718CA" w:rsidP="00AF4242">
      <w:pPr>
        <w:jc w:val="both"/>
        <w:rPr>
          <w:rFonts w:ascii="Verdana" w:hAnsi="Verdana" w:cs="Arial"/>
        </w:rPr>
      </w:pPr>
    </w:p>
    <w:p w14:paraId="0BF90960" w14:textId="0F993BC3" w:rsidR="00682615" w:rsidRPr="00D61AFE" w:rsidRDefault="001718CA" w:rsidP="00AF4242">
      <w:pPr>
        <w:jc w:val="both"/>
        <w:rPr>
          <w:rFonts w:ascii="Verdana" w:hAnsi="Verdana" w:cs="Arial"/>
        </w:rPr>
      </w:pPr>
      <w:r w:rsidRPr="00D61AFE">
        <w:rPr>
          <w:rFonts w:ascii="Verdana" w:hAnsi="Verdana" w:cs="Arial"/>
        </w:rPr>
        <w:t>En síntesis, el reconocimiento tarifario de los activos de infraestructura de acueducto y alcantarillado depende del título bajo el cual se incorporan a la empresa prestadora, y no de su mero registro patrimonial. El valor de los activos financiados con recursos públicos y aportados gratuitamente bajo la condición del artículo 87.9 de la Ley 142 de 1994</w:t>
      </w:r>
      <w:r w:rsidR="00682615" w:rsidRPr="00D61AFE">
        <w:rPr>
          <w:rFonts w:ascii="Verdana" w:hAnsi="Verdana" w:cs="Arial"/>
        </w:rPr>
        <w:t>,</w:t>
      </w:r>
      <w:r w:rsidRPr="00D61AFE">
        <w:rPr>
          <w:rFonts w:ascii="Verdana" w:hAnsi="Verdana" w:cs="Arial"/>
        </w:rPr>
        <w:t xml:space="preserve"> no puede trasladarse a los usuarios a través de la tarifa, debiendo la persona prestadora identificarlo y excluirlo del Costo Medio de Inversión. Por el contrario, cuando el activo se incorpora mediante enajenación o capitalización </w:t>
      </w:r>
      <w:r w:rsidR="00682615" w:rsidRPr="00D61AFE">
        <w:rPr>
          <w:rFonts w:ascii="Verdana" w:hAnsi="Verdana" w:cs="Arial"/>
        </w:rPr>
        <w:t>-</w:t>
      </w:r>
      <w:r w:rsidRPr="00D61AFE">
        <w:rPr>
          <w:rFonts w:ascii="Verdana" w:hAnsi="Verdana" w:cs="Arial"/>
        </w:rPr>
        <w:t>con la correspondiente contraprestación patrimonial en favor de la entidad aportante</w:t>
      </w:r>
      <w:r w:rsidR="00682615" w:rsidRPr="00D61AFE">
        <w:rPr>
          <w:rFonts w:ascii="Verdana" w:hAnsi="Verdana" w:cs="Arial"/>
        </w:rPr>
        <w:t>-</w:t>
      </w:r>
      <w:r w:rsidRPr="00D61AFE">
        <w:rPr>
          <w:rFonts w:ascii="Verdana" w:hAnsi="Verdana" w:cs="Arial"/>
        </w:rPr>
        <w:t xml:space="preserve">, opera la excepción expresa del mismo numeral y el bien se asimila a capital invertido susceptible de remuneración. </w:t>
      </w:r>
    </w:p>
    <w:p w14:paraId="705734E7" w14:textId="77777777" w:rsidR="00682615" w:rsidRPr="00D61AFE" w:rsidRDefault="00682615" w:rsidP="00AF4242">
      <w:pPr>
        <w:jc w:val="both"/>
        <w:rPr>
          <w:rFonts w:ascii="Verdana" w:hAnsi="Verdana" w:cs="Arial"/>
        </w:rPr>
      </w:pPr>
    </w:p>
    <w:p w14:paraId="0FE07883" w14:textId="6BE94DB6" w:rsidR="001718CA" w:rsidRPr="00D61AFE" w:rsidRDefault="001718CA" w:rsidP="00AF4242">
      <w:pPr>
        <w:jc w:val="both"/>
        <w:rPr>
          <w:rFonts w:ascii="Verdana" w:hAnsi="Verdana" w:cs="Arial"/>
        </w:rPr>
      </w:pPr>
      <w:r w:rsidRPr="00D61AFE">
        <w:rPr>
          <w:rFonts w:ascii="Verdana" w:hAnsi="Verdana" w:cs="Arial"/>
        </w:rPr>
        <w:t>Con esta distinción se preserva el principio de que la tarifa remunere exclusivamente las inversiones efectivamente sufragadas por el prestador con sus propios recursos o el capital efectivamente invertido en la empresa, evitando tanto la doble recuperación de inversiones y el doble cobro a los usuarios, como la discriminación del capital de origen público.</w:t>
      </w:r>
    </w:p>
    <w:p w14:paraId="7956C173" w14:textId="77777777" w:rsidR="001718CA" w:rsidRPr="00D61AFE" w:rsidRDefault="001718CA" w:rsidP="00AF4242">
      <w:pPr>
        <w:jc w:val="both"/>
        <w:rPr>
          <w:rFonts w:ascii="Verdana" w:hAnsi="Verdana" w:cs="Arial"/>
        </w:rPr>
      </w:pPr>
    </w:p>
    <w:p w14:paraId="46290DD7" w14:textId="317BE6EC" w:rsidR="004B15A3" w:rsidRPr="00D61AFE" w:rsidRDefault="004B15A3" w:rsidP="00AF4242">
      <w:pPr>
        <w:jc w:val="both"/>
        <w:rPr>
          <w:rFonts w:ascii="Verdana" w:hAnsi="Verdana" w:cs="Arial"/>
          <w:lang w:val="es-CO"/>
        </w:rPr>
      </w:pPr>
      <w:r w:rsidRPr="00D61AFE">
        <w:rPr>
          <w:rFonts w:ascii="Verdana" w:hAnsi="Verdana" w:cs="Arial"/>
        </w:rPr>
        <w:t>En caso de requerir información adicional y/o asesoría en materia tarifaria, le invitamos a comunicarse con la Subdirección de Regulación al teléfono en Bogotá (601) 487 3820 o a la línea gratuita nacional 01 8000 517 565 y uno de nuestros asesores atenderá sus inquietudes.</w:t>
      </w:r>
      <w:r w:rsidRPr="00D61AFE">
        <w:rPr>
          <w:rFonts w:ascii="Verdana" w:hAnsi="Verdana" w:cs="Arial"/>
          <w:lang w:val="es-CO"/>
        </w:rPr>
        <w:t> </w:t>
      </w:r>
    </w:p>
    <w:p w14:paraId="67F097C4" w14:textId="77777777" w:rsidR="00B004BC" w:rsidRPr="00D61AFE" w:rsidRDefault="00B004BC" w:rsidP="00AF4242">
      <w:pPr>
        <w:jc w:val="both"/>
        <w:rPr>
          <w:rFonts w:ascii="Verdana" w:hAnsi="Verdana" w:cs="Arial"/>
        </w:rPr>
      </w:pPr>
    </w:p>
    <w:p w14:paraId="2991798B" w14:textId="77777777" w:rsidR="004D3BF3" w:rsidRPr="00D61AFE" w:rsidRDefault="004D3BF3" w:rsidP="00AF4242">
      <w:pPr>
        <w:rPr>
          <w:rFonts w:ascii="Verdana" w:hAnsi="Verdana" w:cs="Arial"/>
        </w:rPr>
      </w:pPr>
      <w:r w:rsidRPr="00D61AFE">
        <w:rPr>
          <w:rFonts w:ascii="Verdana" w:hAnsi="Verdana" w:cs="Arial"/>
        </w:rPr>
        <w:t>Cordialmente,</w:t>
      </w:r>
    </w:p>
    <w:p w14:paraId="4CF09566" w14:textId="77777777" w:rsidR="004D3BF3" w:rsidRPr="00D61AFE" w:rsidRDefault="004D3BF3" w:rsidP="00AF4242">
      <w:pPr>
        <w:contextualSpacing/>
        <w:jc w:val="both"/>
        <w:rPr>
          <w:rFonts w:ascii="Verdana" w:hAnsi="Verdana" w:cs="Arial"/>
        </w:rPr>
      </w:pPr>
    </w:p>
    <w:p w14:paraId="44A043F8" w14:textId="77777777" w:rsidR="004D3BF3" w:rsidRPr="00D61AFE" w:rsidRDefault="004D3BF3" w:rsidP="00AF4242">
      <w:pPr>
        <w:contextualSpacing/>
        <w:jc w:val="both"/>
        <w:rPr>
          <w:rFonts w:ascii="Verdana" w:hAnsi="Verdana" w:cs="Arial"/>
        </w:rPr>
      </w:pPr>
    </w:p>
    <w:p w14:paraId="535C59BC" w14:textId="77777777" w:rsidR="004D3BF3" w:rsidRPr="00D61AFE" w:rsidRDefault="004D3BF3" w:rsidP="00AF4242">
      <w:pPr>
        <w:tabs>
          <w:tab w:val="left" w:pos="932"/>
        </w:tabs>
        <w:contextualSpacing/>
        <w:rPr>
          <w:rFonts w:ascii="Verdana" w:hAnsi="Verdana" w:cs="Arial"/>
        </w:rPr>
      </w:pPr>
    </w:p>
    <w:p w14:paraId="62AD19BE" w14:textId="77777777" w:rsidR="000E7C51" w:rsidRPr="00D61AFE" w:rsidRDefault="000E7C51" w:rsidP="00AF4242">
      <w:pPr>
        <w:jc w:val="both"/>
        <w:rPr>
          <w:rFonts w:ascii="Verdana" w:hAnsi="Verdana" w:cs="Arial"/>
          <w:b/>
          <w:bCs/>
        </w:rPr>
      </w:pPr>
      <w:r w:rsidRPr="00D61AFE">
        <w:rPr>
          <w:rFonts w:ascii="Verdana" w:hAnsi="Verdana" w:cs="Arial"/>
          <w:b/>
          <w:bCs/>
        </w:rPr>
        <w:t xml:space="preserve">JULIO CÉSAR GARCÍA LÓPEZ </w:t>
      </w:r>
    </w:p>
    <w:p w14:paraId="25C18456" w14:textId="77777777" w:rsidR="000E7C51" w:rsidRPr="00405417" w:rsidRDefault="000E7C51" w:rsidP="00AF4242">
      <w:pPr>
        <w:jc w:val="both"/>
        <w:rPr>
          <w:rFonts w:ascii="Verdana" w:eastAsia="Arial Unicode MS" w:hAnsi="Verdana" w:cs="Arial"/>
          <w:kern w:val="3"/>
          <w:lang w:val="es"/>
        </w:rPr>
      </w:pPr>
      <w:r w:rsidRPr="00D61AFE">
        <w:rPr>
          <w:rFonts w:ascii="Verdana" w:eastAsia="Arial Unicode MS" w:hAnsi="Verdana" w:cs="Arial"/>
          <w:kern w:val="3"/>
          <w:lang w:val="es"/>
        </w:rPr>
        <w:t>Subdirector de Regulación (E)</w:t>
      </w:r>
    </w:p>
    <w:p w14:paraId="13A48B5C" w14:textId="77777777" w:rsidR="00E94F39" w:rsidRDefault="00E94F39" w:rsidP="00AF4242">
      <w:pPr>
        <w:tabs>
          <w:tab w:val="left" w:pos="932"/>
        </w:tabs>
        <w:contextualSpacing/>
        <w:jc w:val="both"/>
        <w:rPr>
          <w:rFonts w:ascii="Verdana" w:hAnsi="Verdana" w:cs="Arial"/>
          <w:sz w:val="16"/>
          <w:szCs w:val="16"/>
        </w:rPr>
      </w:pPr>
    </w:p>
    <w:p w14:paraId="2C0620B0" w14:textId="77777777" w:rsidR="000845D8" w:rsidRDefault="000845D8" w:rsidP="000A16E8">
      <w:pPr>
        <w:tabs>
          <w:tab w:val="left" w:pos="932"/>
        </w:tabs>
        <w:contextualSpacing/>
        <w:jc w:val="both"/>
        <w:rPr>
          <w:rFonts w:ascii="Verdana" w:hAnsi="Verdana" w:cs="Arial"/>
          <w:sz w:val="16"/>
          <w:szCs w:val="16"/>
        </w:rPr>
      </w:pPr>
    </w:p>
    <w:p w14:paraId="45562F61" w14:textId="77777777" w:rsidR="00A403F3" w:rsidRDefault="00A403F3" w:rsidP="000A16E8">
      <w:pPr>
        <w:tabs>
          <w:tab w:val="left" w:pos="932"/>
        </w:tabs>
        <w:contextualSpacing/>
        <w:jc w:val="both"/>
        <w:rPr>
          <w:rFonts w:ascii="Verdana" w:hAnsi="Verdana" w:cs="Arial"/>
          <w:sz w:val="16"/>
          <w:szCs w:val="16"/>
        </w:rPr>
      </w:pPr>
    </w:p>
    <w:p w14:paraId="34D290A6" w14:textId="77777777" w:rsidR="000845D8" w:rsidRPr="0046260E" w:rsidRDefault="000845D8" w:rsidP="000845D8">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Elaboró: </w:t>
      </w:r>
      <w:r w:rsidRPr="0046260E">
        <w:rPr>
          <w:rFonts w:ascii="Verdana" w:hAnsi="Verdana" w:cs="Arial"/>
          <w:color w:val="000000" w:themeColor="text1"/>
          <w:sz w:val="14"/>
          <w:szCs w:val="16"/>
        </w:rPr>
        <w:tab/>
      </w:r>
      <w:r>
        <w:rPr>
          <w:rFonts w:ascii="Verdana" w:hAnsi="Verdana" w:cs="Arial"/>
          <w:color w:val="000000" w:themeColor="text1"/>
          <w:sz w:val="14"/>
          <w:szCs w:val="16"/>
        </w:rPr>
        <w:t>Manuel Avila Gómez</w:t>
      </w:r>
      <w:r w:rsidRPr="0046260E">
        <w:rPr>
          <w:rFonts w:ascii="Verdana" w:hAnsi="Verdana" w:cs="Arial"/>
          <w:color w:val="000000" w:themeColor="text1"/>
          <w:sz w:val="14"/>
          <w:szCs w:val="16"/>
        </w:rPr>
        <w:t>.</w:t>
      </w:r>
    </w:p>
    <w:p w14:paraId="0D03F8C4" w14:textId="07D2D33C" w:rsidR="000845D8" w:rsidRPr="0046260E" w:rsidRDefault="000845D8" w:rsidP="000845D8">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Revisó: </w:t>
      </w:r>
      <w:r w:rsidRPr="0046260E">
        <w:rPr>
          <w:rFonts w:ascii="Verdana" w:hAnsi="Verdana" w:cs="Arial"/>
          <w:color w:val="000000" w:themeColor="text1"/>
          <w:sz w:val="14"/>
          <w:szCs w:val="16"/>
        </w:rPr>
        <w:tab/>
      </w:r>
      <w:r>
        <w:rPr>
          <w:rFonts w:ascii="Verdana" w:hAnsi="Verdana" w:cs="Arial"/>
          <w:color w:val="000000" w:themeColor="text1"/>
          <w:sz w:val="14"/>
          <w:szCs w:val="16"/>
        </w:rPr>
        <w:t>Dalix Gutierrez Fuentes</w:t>
      </w:r>
      <w:r w:rsidRPr="0046260E">
        <w:rPr>
          <w:rFonts w:ascii="Verdana" w:hAnsi="Verdana" w:cs="Arial"/>
          <w:color w:val="000000" w:themeColor="text1"/>
          <w:sz w:val="14"/>
          <w:szCs w:val="16"/>
        </w:rPr>
        <w:t>.</w:t>
      </w:r>
    </w:p>
    <w:p w14:paraId="0BFEA9D1" w14:textId="41A5AC45" w:rsidR="000E7C51" w:rsidRPr="0046260E" w:rsidRDefault="000845D8" w:rsidP="000E7C51">
      <w:pPr>
        <w:contextualSpacing/>
        <w:rPr>
          <w:rFonts w:ascii="Verdana" w:eastAsia="Arial Unicode MS" w:hAnsi="Verdana" w:cs="Arial"/>
          <w:color w:val="000000" w:themeColor="text1"/>
          <w:kern w:val="3"/>
        </w:rPr>
      </w:pPr>
      <w:r w:rsidRPr="0046260E">
        <w:rPr>
          <w:rFonts w:ascii="Verdana" w:hAnsi="Verdana" w:cs="Arial"/>
          <w:color w:val="000000" w:themeColor="text1"/>
          <w:sz w:val="14"/>
          <w:szCs w:val="16"/>
        </w:rPr>
        <w:t xml:space="preserve">Aprobó: </w:t>
      </w:r>
      <w:r w:rsidRPr="0046260E">
        <w:rPr>
          <w:rFonts w:ascii="Verdana" w:hAnsi="Verdana" w:cs="Arial"/>
          <w:color w:val="000000" w:themeColor="text1"/>
          <w:sz w:val="14"/>
          <w:szCs w:val="16"/>
        </w:rPr>
        <w:tab/>
      </w:r>
      <w:r w:rsidR="00AF4242">
        <w:rPr>
          <w:rFonts w:ascii="Verdana" w:hAnsi="Verdana" w:cs="Arial"/>
          <w:color w:val="000000" w:themeColor="text1"/>
          <w:sz w:val="14"/>
          <w:szCs w:val="16"/>
        </w:rPr>
        <w:t>Santiago Vargas</w:t>
      </w:r>
      <w:r>
        <w:rPr>
          <w:rFonts w:ascii="Verdana" w:hAnsi="Verdana" w:cs="Arial"/>
          <w:color w:val="000000" w:themeColor="text1"/>
          <w:sz w:val="14"/>
          <w:szCs w:val="16"/>
        </w:rPr>
        <w:t>.</w:t>
      </w:r>
    </w:p>
    <w:sectPr w:rsidR="000E7C51" w:rsidRPr="0046260E" w:rsidSect="00F87808">
      <w:headerReference w:type="default" r:id="rId11"/>
      <w:footerReference w:type="default" r:id="rId12"/>
      <w:pgSz w:w="12240" w:h="15840"/>
      <w:pgMar w:top="2087" w:right="1418" w:bottom="1134" w:left="1418"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4747E" w14:textId="77777777" w:rsidR="005F2F98" w:rsidRDefault="005F2F98">
      <w:r>
        <w:separator/>
      </w:r>
    </w:p>
  </w:endnote>
  <w:endnote w:type="continuationSeparator" w:id="0">
    <w:p w14:paraId="28D73551" w14:textId="77777777" w:rsidR="005F2F98" w:rsidRDefault="005F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de3of9">
    <w:altName w:val="Calibri"/>
    <w:panose1 w:val="00000000000000000000"/>
    <w:charset w:val="00"/>
    <w:family w:val="auto"/>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AB3D" w14:textId="77777777" w:rsidR="00C0206F" w:rsidRDefault="00D111CA">
    <w:pPr>
      <w:pStyle w:val="Piedepgina"/>
      <w:snapToGrid w:val="0"/>
    </w:pPr>
    <w:r>
      <w:rPr>
        <w:rFonts w:ascii="Arial" w:hAnsi="Arial" w:cs="Arial"/>
        <w:noProof/>
        <w:sz w:val="16"/>
        <w:lang w:eastAsia="es-ES"/>
      </w:rPr>
      <mc:AlternateContent>
        <mc:Choice Requires="wps">
          <w:drawing>
            <wp:anchor distT="0" distB="0" distL="114300" distR="114300" simplePos="0" relativeHeight="251658240" behindDoc="0" locked="0" layoutInCell="1" allowOverlap="1" wp14:anchorId="0DF3DF8A" wp14:editId="5FD35D6A">
              <wp:simplePos x="0" y="0"/>
              <wp:positionH relativeFrom="column">
                <wp:posOffset>3705221</wp:posOffset>
              </wp:positionH>
              <wp:positionV relativeFrom="paragraph">
                <wp:posOffset>-913128</wp:posOffset>
              </wp:positionV>
              <wp:extent cx="631" cy="0"/>
              <wp:effectExtent l="0" t="0" r="0" b="0"/>
              <wp:wrapNone/>
              <wp:docPr id="3" name="AutoShape 16"/>
              <wp:cNvGraphicFramePr/>
              <a:graphic xmlns:a="http://schemas.openxmlformats.org/drawingml/2006/main">
                <a:graphicData uri="http://schemas.microsoft.com/office/word/2010/wordprocessingShape">
                  <wps:wsp>
                    <wps:cNvCnPr/>
                    <wps:spPr>
                      <a:xfrm>
                        <a:off x="0" y="0"/>
                        <a:ext cx="631" cy="0"/>
                      </a:xfrm>
                      <a:prstGeom prst="straightConnector1">
                        <a:avLst/>
                      </a:prstGeom>
                      <a:noFill/>
                      <a:ln w="9528">
                        <a:solidFill>
                          <a:srgbClr val="000000"/>
                        </a:solidFill>
                        <a:prstDash val="solid"/>
                        <a:round/>
                      </a:ln>
                    </wps:spPr>
                    <wps:bodyPr/>
                  </wps:wsp>
                </a:graphicData>
              </a:graphic>
            </wp:anchor>
          </w:drawing>
        </mc:Choice>
        <mc:Fallback>
          <w:pict>
            <v:shapetype w14:anchorId="7A755706" id="_x0000_t32" coordsize="21600,21600" o:spt="32" o:oned="t" path="m,l21600,21600e" filled="f">
              <v:path arrowok="t" fillok="f" o:connecttype="none"/>
              <o:lock v:ext="edit" shapetype="t"/>
            </v:shapetype>
            <v:shape id="AutoShape 16" o:spid="_x0000_s1026" type="#_x0000_t32" style="position:absolute;margin-left:291.75pt;margin-top:-71.9pt;width:.0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" strokeweight=".26467mm"/>
          </w:pict>
        </mc:Fallback>
      </mc:AlternateContent>
    </w:r>
    <w:r>
      <w:rPr>
        <w:rFonts w:ascii="Arial" w:hAnsi="Arial" w:cs="Arial"/>
        <w:sz w:val="16"/>
      </w:rPr>
      <w:t>________________________________________________________________________________</w:t>
    </w:r>
    <w:r w:rsidR="009666D1">
      <w:rPr>
        <w:rFonts w:ascii="Arial" w:hAnsi="Arial" w:cs="Arial"/>
        <w:sz w:val="16"/>
      </w:rPr>
      <w:t>_________________________</w:t>
    </w:r>
  </w:p>
  <w:p w14:paraId="3A102A36" w14:textId="77777777" w:rsidR="0065088C" w:rsidRPr="00EE72FF" w:rsidRDefault="0065088C" w:rsidP="0065088C">
    <w:pPr>
      <w:spacing w:line="276" w:lineRule="auto"/>
      <w:jc w:val="both"/>
      <w:rPr>
        <w:rFonts w:ascii="Verdana" w:hAnsi="Verdana"/>
        <w:b/>
        <w:bCs/>
        <w:sz w:val="20"/>
        <w:szCs w:val="20"/>
      </w:rPr>
    </w:pPr>
    <w:r>
      <w:rPr>
        <w:rFonts w:ascii="Verdana" w:hAnsi="Verdana"/>
        <w:b/>
        <w:bCs/>
        <w:sz w:val="20"/>
        <w:szCs w:val="20"/>
      </w:rPr>
      <w:t>Comisión de Regulación de Agua Potable y Saneamiento Básico</w:t>
    </w:r>
  </w:p>
  <w:p w14:paraId="19303F86" w14:textId="190F15F2" w:rsidR="0065088C" w:rsidRPr="00EE72FF" w:rsidRDefault="0065088C" w:rsidP="0065088C">
    <w:pPr>
      <w:spacing w:line="276" w:lineRule="auto"/>
      <w:jc w:val="both"/>
      <w:rPr>
        <w:rFonts w:ascii="Verdana" w:hAnsi="Verdana"/>
        <w:sz w:val="20"/>
        <w:szCs w:val="20"/>
      </w:rPr>
    </w:pPr>
    <w:r w:rsidRPr="00EE72FF">
      <w:rPr>
        <w:rFonts w:ascii="Verdana" w:hAnsi="Verdana"/>
        <w:sz w:val="20"/>
        <w:szCs w:val="20"/>
      </w:rPr>
      <w:t xml:space="preserve">Dirección: Carrera </w:t>
    </w:r>
    <w:r>
      <w:rPr>
        <w:rFonts w:ascii="Verdana" w:hAnsi="Verdana"/>
        <w:sz w:val="20"/>
        <w:szCs w:val="20"/>
      </w:rPr>
      <w:t>12</w:t>
    </w:r>
    <w:r w:rsidRPr="00EE72FF">
      <w:rPr>
        <w:rFonts w:ascii="Verdana" w:hAnsi="Verdana"/>
        <w:sz w:val="20"/>
        <w:szCs w:val="20"/>
      </w:rPr>
      <w:t xml:space="preserve"> No.</w:t>
    </w:r>
    <w:r>
      <w:rPr>
        <w:rFonts w:ascii="Verdana" w:hAnsi="Verdana"/>
        <w:sz w:val="20"/>
        <w:szCs w:val="20"/>
      </w:rPr>
      <w:t>9</w:t>
    </w:r>
    <w:r w:rsidRPr="00EE72FF">
      <w:rPr>
        <w:rFonts w:ascii="Verdana" w:hAnsi="Verdana"/>
        <w:sz w:val="20"/>
        <w:szCs w:val="20"/>
      </w:rPr>
      <w:t xml:space="preserve">7 </w:t>
    </w:r>
    <w:r>
      <w:rPr>
        <w:rFonts w:ascii="Verdana" w:hAnsi="Verdana"/>
        <w:sz w:val="20"/>
        <w:szCs w:val="20"/>
      </w:rPr>
      <w:t>– 80</w:t>
    </w:r>
    <w:r w:rsidR="008F516C">
      <w:rPr>
        <w:rFonts w:ascii="Verdana" w:hAnsi="Verdana"/>
        <w:sz w:val="20"/>
        <w:szCs w:val="20"/>
      </w:rPr>
      <w:t>,</w:t>
    </w:r>
    <w:r>
      <w:rPr>
        <w:rFonts w:ascii="Verdana" w:hAnsi="Verdana"/>
        <w:sz w:val="20"/>
        <w:szCs w:val="20"/>
      </w:rPr>
      <w:t xml:space="preserve"> piso 2</w:t>
    </w:r>
    <w:r w:rsidR="008F516C">
      <w:rPr>
        <w:rFonts w:ascii="Verdana" w:hAnsi="Verdana"/>
        <w:sz w:val="20"/>
        <w:szCs w:val="20"/>
      </w:rPr>
      <w:t>.</w:t>
    </w:r>
    <w:r w:rsidRPr="00EE72FF">
      <w:rPr>
        <w:rFonts w:ascii="Verdana" w:hAnsi="Verdana"/>
        <w:sz w:val="20"/>
        <w:szCs w:val="20"/>
      </w:rPr>
      <w:t xml:space="preserve"> Bogotá</w:t>
    </w:r>
    <w:r w:rsidR="00597EDE">
      <w:rPr>
        <w:rFonts w:ascii="Verdana" w:hAnsi="Verdana"/>
        <w:sz w:val="20"/>
        <w:szCs w:val="20"/>
      </w:rPr>
      <w:t>,</w:t>
    </w:r>
    <w:r w:rsidRPr="00EE72FF">
      <w:rPr>
        <w:rFonts w:ascii="Verdana" w:hAnsi="Verdana"/>
        <w:sz w:val="20"/>
        <w:szCs w:val="20"/>
      </w:rPr>
      <w:t xml:space="preserve"> D.C., Colombia</w:t>
    </w:r>
  </w:p>
  <w:p w14:paraId="3A3DED22" w14:textId="7CA6B0DA" w:rsidR="0065088C" w:rsidRDefault="0065088C" w:rsidP="0065088C">
    <w:pPr>
      <w:spacing w:line="276" w:lineRule="auto"/>
      <w:jc w:val="both"/>
      <w:rPr>
        <w:rFonts w:ascii="Verdana" w:hAnsi="Verdana"/>
        <w:sz w:val="20"/>
        <w:szCs w:val="20"/>
      </w:rPr>
    </w:pPr>
    <w:r w:rsidRPr="00EE72FF">
      <w:rPr>
        <w:rFonts w:ascii="Verdana" w:hAnsi="Verdana"/>
        <w:sz w:val="20"/>
        <w:szCs w:val="20"/>
      </w:rPr>
      <w:t xml:space="preserve">Conmutador: (+57) 601 </w:t>
    </w:r>
    <w:r>
      <w:rPr>
        <w:rFonts w:ascii="Verdana" w:hAnsi="Verdana"/>
        <w:sz w:val="20"/>
        <w:szCs w:val="20"/>
      </w:rPr>
      <w:t>4873</w:t>
    </w:r>
    <w:r w:rsidR="00F55E1D">
      <w:rPr>
        <w:rFonts w:ascii="Verdana" w:hAnsi="Verdana"/>
        <w:sz w:val="20"/>
        <w:szCs w:val="20"/>
      </w:rPr>
      <w:t>8</w:t>
    </w:r>
    <w:r>
      <w:rPr>
        <w:rFonts w:ascii="Verdana" w:hAnsi="Verdana"/>
        <w:sz w:val="20"/>
        <w:szCs w:val="20"/>
      </w:rPr>
      <w:t>20</w:t>
    </w:r>
    <w:r w:rsidR="00D67B70">
      <w:rPr>
        <w:rFonts w:ascii="Verdana" w:hAnsi="Verdana"/>
        <w:sz w:val="20"/>
        <w:szCs w:val="20"/>
      </w:rPr>
      <w:t xml:space="preserve"> - </w:t>
    </w:r>
    <w:r w:rsidRPr="00EE72FF">
      <w:rPr>
        <w:rFonts w:ascii="Verdana" w:hAnsi="Verdana"/>
        <w:sz w:val="20"/>
        <w:szCs w:val="20"/>
      </w:rPr>
      <w:t xml:space="preserve">Línea Gratuita: (+57) 01 8000 </w:t>
    </w:r>
    <w:r>
      <w:rPr>
        <w:rFonts w:ascii="Verdana" w:hAnsi="Verdana"/>
        <w:sz w:val="20"/>
        <w:szCs w:val="20"/>
      </w:rPr>
      <w:t>517565</w:t>
    </w:r>
  </w:p>
  <w:p w14:paraId="3F31B6FC" w14:textId="77777777" w:rsidR="00D67B70" w:rsidRPr="00D67B70" w:rsidRDefault="00D67B70" w:rsidP="00D67B70">
    <w:pPr>
      <w:spacing w:line="276" w:lineRule="auto"/>
      <w:jc w:val="both"/>
      <w:rPr>
        <w:rFonts w:ascii="Verdana" w:hAnsi="Verdana"/>
        <w:sz w:val="20"/>
        <w:szCs w:val="20"/>
      </w:rPr>
    </w:pPr>
    <w:r w:rsidRPr="00D67B70">
      <w:rPr>
        <w:rFonts w:ascii="Verdana" w:hAnsi="Verdana"/>
        <w:color w:val="000000"/>
        <w:sz w:val="20"/>
        <w:szCs w:val="20"/>
      </w:rPr>
      <w:t>correo@cra.gov.co - www.cra.gov.co</w:t>
    </w:r>
  </w:p>
  <w:p w14:paraId="53DB9480" w14:textId="77777777" w:rsidR="00D67B70" w:rsidRPr="00EE72FF" w:rsidRDefault="00D67B70" w:rsidP="0065088C">
    <w:pPr>
      <w:spacing w:line="276" w:lineRule="auto"/>
      <w:jc w:val="both"/>
      <w:rPr>
        <w:rFonts w:ascii="Verdana" w:hAnsi="Verdana"/>
        <w:sz w:val="20"/>
        <w:szCs w:val="20"/>
      </w:rPr>
    </w:pPr>
  </w:p>
  <w:p w14:paraId="7E434A12" w14:textId="77777777" w:rsidR="00C0206F" w:rsidRDefault="00C0206F">
    <w:pPr>
      <w:ind w:right="260"/>
      <w:rPr>
        <w:color w:val="0F243E"/>
        <w:sz w:val="26"/>
        <w:szCs w:val="26"/>
      </w:rPr>
    </w:pPr>
  </w:p>
  <w:p w14:paraId="767D9483" w14:textId="77777777" w:rsidR="00C0206F" w:rsidRDefault="00C0206F">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65FA3" w14:textId="77777777" w:rsidR="005F2F98" w:rsidRDefault="005F2F98">
      <w:r>
        <w:rPr>
          <w:color w:val="000000"/>
        </w:rPr>
        <w:separator/>
      </w:r>
    </w:p>
  </w:footnote>
  <w:footnote w:type="continuationSeparator" w:id="0">
    <w:p w14:paraId="1F99D15C" w14:textId="77777777" w:rsidR="005F2F98" w:rsidRDefault="005F2F98">
      <w:r>
        <w:continuationSeparator/>
      </w:r>
    </w:p>
  </w:footnote>
  <w:footnote w:id="1">
    <w:p w14:paraId="1657282E" w14:textId="75370C87" w:rsidR="00AB3C70" w:rsidRPr="00AB3C70" w:rsidRDefault="00AB3C70" w:rsidP="00AB3C70">
      <w:pPr>
        <w:pStyle w:val="Textonotapie"/>
        <w:jc w:val="both"/>
        <w:rPr>
          <w:rFonts w:ascii="Verdana" w:hAnsi="Verdana"/>
          <w:i/>
          <w:iCs/>
          <w:sz w:val="14"/>
          <w:szCs w:val="14"/>
        </w:rPr>
      </w:pPr>
      <w:r w:rsidRPr="00EB434B">
        <w:rPr>
          <w:rStyle w:val="Refdenotaalpie"/>
          <w:rFonts w:ascii="Verdana" w:hAnsi="Verdana"/>
          <w:i/>
          <w:iCs/>
          <w:sz w:val="14"/>
          <w:szCs w:val="14"/>
        </w:rPr>
        <w:footnoteRef/>
      </w:r>
      <w:r w:rsidRPr="00EB434B">
        <w:rPr>
          <w:rFonts w:ascii="Verdana" w:hAnsi="Verdana"/>
          <w:i/>
          <w:iCs/>
          <w:sz w:val="14"/>
          <w:szCs w:val="14"/>
        </w:rPr>
        <w:t xml:space="preserve"> Sustituido</w:t>
      </w:r>
      <w:r w:rsidRPr="00AB3C70">
        <w:rPr>
          <w:rFonts w:ascii="Verdana" w:hAnsi="Verdana"/>
          <w:i/>
          <w:iCs/>
          <w:sz w:val="14"/>
          <w:szCs w:val="14"/>
        </w:rPr>
        <w:t xml:space="preserve"> por el artículo 1 de la Ley 1755 de 2015 “Por medio de la cual se regula el derecho fundamental de</w:t>
      </w:r>
      <w:r>
        <w:rPr>
          <w:rFonts w:ascii="Verdana" w:hAnsi="Verdana"/>
          <w:i/>
          <w:iCs/>
          <w:sz w:val="14"/>
          <w:szCs w:val="14"/>
        </w:rPr>
        <w:t xml:space="preserve"> </w:t>
      </w:r>
      <w:r w:rsidRPr="00AB3C70">
        <w:rPr>
          <w:rFonts w:ascii="Verdana" w:hAnsi="Verdana"/>
          <w:i/>
          <w:iCs/>
          <w:sz w:val="14"/>
          <w:szCs w:val="14"/>
        </w:rPr>
        <w:t>petición y se sustituye un título del Código de Procedimiento Administrativo y de los Contencioso Administrativo.”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808A" w14:textId="2CC79537" w:rsidR="00C0206F" w:rsidRDefault="00C0206F">
    <w:pPr>
      <w:pStyle w:val="Encabezado"/>
    </w:pPr>
  </w:p>
  <w:p w14:paraId="76BFD59E" w14:textId="65493B31" w:rsidR="00C0206F" w:rsidRDefault="00C0206F">
    <w:pPr>
      <w:pStyle w:val="Encabezado"/>
    </w:pPr>
  </w:p>
  <w:p w14:paraId="3873040A" w14:textId="3871242D" w:rsidR="00C0206F" w:rsidRDefault="00C0206F">
    <w:pPr>
      <w:pStyle w:val="Encabezado"/>
    </w:pPr>
  </w:p>
  <w:p w14:paraId="2F6EC4EE" w14:textId="7CC624D6" w:rsidR="00C0206F" w:rsidRDefault="00D111CA">
    <w:r>
      <w:tab/>
    </w:r>
  </w:p>
  <w:p w14:paraId="4785BB5F" w14:textId="46A4402F" w:rsidR="00C0206F" w:rsidRDefault="004C2138">
    <w:pPr>
      <w:pStyle w:val="Textoindependiente"/>
      <w:jc w:val="center"/>
      <w:rPr>
        <w:b/>
        <w:sz w:val="20"/>
        <w:szCs w:val="20"/>
        <w:lang w:val="en-US"/>
      </w:rPr>
    </w:pPr>
    <w:r>
      <w:rPr>
        <w:b/>
        <w:noProof/>
        <w:sz w:val="20"/>
        <w:szCs w:val="20"/>
        <w:lang w:val="en-US"/>
      </w:rPr>
      <w:drawing>
        <wp:anchor distT="0" distB="0" distL="114300" distR="114300" simplePos="0" relativeHeight="251658241" behindDoc="0" locked="0" layoutInCell="1" allowOverlap="1" wp14:anchorId="468639D8" wp14:editId="0C4CB788">
          <wp:simplePos x="0" y="0"/>
          <wp:positionH relativeFrom="margin">
            <wp:align>center</wp:align>
          </wp:positionH>
          <wp:positionV relativeFrom="paragraph">
            <wp:posOffset>5715</wp:posOffset>
          </wp:positionV>
          <wp:extent cx="479606" cy="694602"/>
          <wp:effectExtent l="0" t="0" r="0" b="0"/>
          <wp:wrapNone/>
          <wp:docPr id="15611616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36930" name="Imagen 1163336930"/>
                  <pic:cNvPicPr/>
                </pic:nvPicPr>
                <pic:blipFill>
                  <a:blip r:embed="rId1">
                    <a:extLst>
                      <a:ext uri="{28A0092B-C50C-407E-A947-70E740481C1C}">
                        <a14:useLocalDpi xmlns:a14="http://schemas.microsoft.com/office/drawing/2010/main" val="0"/>
                      </a:ext>
                    </a:extLst>
                  </a:blip>
                  <a:stretch>
                    <a:fillRect/>
                  </a:stretch>
                </pic:blipFill>
                <pic:spPr>
                  <a:xfrm>
                    <a:off x="0" y="0"/>
                    <a:ext cx="479606" cy="694602"/>
                  </a:xfrm>
                  <a:prstGeom prst="rect">
                    <a:avLst/>
                  </a:prstGeom>
                </pic:spPr>
              </pic:pic>
            </a:graphicData>
          </a:graphic>
          <wp14:sizeRelH relativeFrom="page">
            <wp14:pctWidth>0</wp14:pctWidth>
          </wp14:sizeRelH>
          <wp14:sizeRelV relativeFrom="page">
            <wp14:pctHeight>0</wp14:pctHeight>
          </wp14:sizeRelV>
        </wp:anchor>
      </w:drawing>
    </w:r>
  </w:p>
  <w:p w14:paraId="64BB8258" w14:textId="77777777" w:rsidR="00E25BFE" w:rsidRPr="000E5250" w:rsidRDefault="00A55ABF" w:rsidP="00E25BFE">
    <w:pPr>
      <w:pStyle w:val="Textoindependiente"/>
      <w:tabs>
        <w:tab w:val="left" w:pos="2761"/>
        <w:tab w:val="right" w:pos="9972"/>
      </w:tabs>
      <w:jc w:val="left"/>
      <w:rPr>
        <w:rFonts w:ascii="Code3of9" w:hAnsi="Code3of9"/>
        <w:sz w:val="40"/>
      </w:rPr>
    </w:pPr>
    <w:r>
      <w:rPr>
        <w:rFonts w:ascii="Verdana" w:hAnsi="Verdana"/>
        <w:sz w:val="40"/>
        <w:szCs w:val="40"/>
      </w:rPr>
      <w:tab/>
    </w:r>
    <w:r>
      <w:rPr>
        <w:rFonts w:ascii="Verdana" w:hAnsi="Verdana"/>
        <w:sz w:val="40"/>
        <w:szCs w:val="40"/>
      </w:rPr>
      <w:tab/>
    </w:r>
    <w:r w:rsidR="00E25BFE" w:rsidRPr="00E25BFE">
      <w:rPr>
        <w:rFonts w:ascii="Free 3 of 9" w:hAnsi="Free 3 of 9"/>
        <w:sz w:val="52"/>
        <w:szCs w:val="32"/>
      </w:rPr>
      <w:t>**RAD_S**</w:t>
    </w:r>
  </w:p>
  <w:p w14:paraId="08845D96" w14:textId="77777777" w:rsidR="00E25BFE" w:rsidRPr="00E25BFE" w:rsidRDefault="00E25BFE" w:rsidP="00E25BFE">
    <w:pPr>
      <w:pStyle w:val="Textoindependiente"/>
      <w:ind w:left="708" w:firstLine="708"/>
      <w:jc w:val="right"/>
      <w:rPr>
        <w:rFonts w:ascii="Verdana" w:hAnsi="Verdana"/>
        <w:b/>
      </w:rPr>
    </w:pPr>
    <w:r w:rsidRPr="00E25BFE">
      <w:rPr>
        <w:rFonts w:ascii="Verdana" w:hAnsi="Verdana"/>
        <w:b/>
      </w:rPr>
      <w:t>Para contestar cite:</w:t>
    </w:r>
  </w:p>
  <w:p w14:paraId="59070162" w14:textId="77777777" w:rsidR="00E25BFE" w:rsidRPr="00E25BFE" w:rsidRDefault="00E25BFE" w:rsidP="00E25BFE">
    <w:pPr>
      <w:pStyle w:val="Textoindependiente"/>
      <w:jc w:val="right"/>
      <w:rPr>
        <w:rFonts w:ascii="Verdana" w:hAnsi="Verdana"/>
      </w:rPr>
    </w:pPr>
    <w:r w:rsidRPr="00E25BFE">
      <w:rPr>
        <w:rFonts w:ascii="Verdana" w:hAnsi="Verdana"/>
      </w:rPr>
      <w:t xml:space="preserve">Radicado CRA </w:t>
    </w:r>
    <w:proofErr w:type="spellStart"/>
    <w:r w:rsidRPr="00E25BFE">
      <w:rPr>
        <w:rFonts w:ascii="Verdana" w:hAnsi="Verdana"/>
      </w:rPr>
      <w:t>N°</w:t>
    </w:r>
    <w:proofErr w:type="spellEnd"/>
    <w:r w:rsidRPr="00E25BFE">
      <w:rPr>
        <w:rFonts w:ascii="Verdana" w:hAnsi="Verdana"/>
      </w:rPr>
      <w:t xml:space="preserve">: </w:t>
    </w:r>
    <w:r w:rsidRPr="00E25BFE">
      <w:rPr>
        <w:rFonts w:ascii="Verdana" w:hAnsi="Verdana"/>
        <w:b/>
      </w:rPr>
      <w:t>*RAD_S*</w:t>
    </w:r>
  </w:p>
  <w:p w14:paraId="7CCCE7C9" w14:textId="77777777" w:rsidR="00E25BFE" w:rsidRPr="00E25BFE" w:rsidRDefault="00E25BFE" w:rsidP="00E25BFE">
    <w:pPr>
      <w:pStyle w:val="Textoindependiente"/>
      <w:jc w:val="right"/>
      <w:rPr>
        <w:rFonts w:ascii="Verdana" w:hAnsi="Verdana"/>
      </w:rPr>
    </w:pPr>
    <w:r w:rsidRPr="00E25BFE">
      <w:rPr>
        <w:rFonts w:ascii="Verdana" w:hAnsi="Verdana"/>
      </w:rPr>
      <w:t>Fecha:</w:t>
    </w:r>
    <w:r w:rsidRPr="00E25BFE">
      <w:rPr>
        <w:rFonts w:ascii="Verdana" w:hAnsi="Verdana"/>
        <w:b/>
      </w:rPr>
      <w:t xml:space="preserve"> *F_RAD_S*</w:t>
    </w:r>
  </w:p>
  <w:p w14:paraId="27840DE0" w14:textId="5BE50C65" w:rsidR="004C2138" w:rsidRPr="00F55E1D" w:rsidRDefault="00D111CA" w:rsidP="00E25BFE">
    <w:pPr>
      <w:widowControl w:val="0"/>
      <w:tabs>
        <w:tab w:val="left" w:pos="2761"/>
        <w:tab w:val="right" w:pos="9972"/>
      </w:tabs>
      <w:rPr>
        <w:lang w:val="en-US"/>
      </w:rPr>
    </w:pPr>
    <w:r>
      <w:rPr>
        <w:b/>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7B"/>
    <w:multiLevelType w:val="hybridMultilevel"/>
    <w:tmpl w:val="B3A40E64"/>
    <w:lvl w:ilvl="0" w:tplc="3824497E">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0C101B"/>
    <w:multiLevelType w:val="hybridMultilevel"/>
    <w:tmpl w:val="D1FEBB74"/>
    <w:lvl w:ilvl="0" w:tplc="BE46FC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C33C01"/>
    <w:multiLevelType w:val="hybridMultilevel"/>
    <w:tmpl w:val="BB7ABAE0"/>
    <w:lvl w:ilvl="0" w:tplc="96E07C16">
      <w:start w:val="1"/>
      <w:numFmt w:val="decimal"/>
      <w:lvlText w:val="%1."/>
      <w:lvlJc w:val="left"/>
      <w:pPr>
        <w:ind w:left="720" w:hanging="360"/>
      </w:pPr>
      <w:rPr>
        <w:rFonts w:ascii="Verdana" w:eastAsia="Verdana" w:hAnsi="Verdana" w:cs="Verdan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A86E6D"/>
    <w:multiLevelType w:val="hybridMultilevel"/>
    <w:tmpl w:val="7C228A20"/>
    <w:lvl w:ilvl="0" w:tplc="240A0017">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ADE1052"/>
    <w:multiLevelType w:val="hybridMultilevel"/>
    <w:tmpl w:val="E4D08C0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D6D512F"/>
    <w:multiLevelType w:val="hybridMultilevel"/>
    <w:tmpl w:val="50A8AE2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CD7C8B"/>
    <w:multiLevelType w:val="hybridMultilevel"/>
    <w:tmpl w:val="B0E6DE12"/>
    <w:lvl w:ilvl="0" w:tplc="16F881D8">
      <w:start w:val="1"/>
      <w:numFmt w:val="lowerLetter"/>
      <w:lvlText w:val="%1."/>
      <w:lvlJc w:val="left"/>
      <w:pPr>
        <w:ind w:left="1080" w:hanging="72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BE03C83"/>
    <w:multiLevelType w:val="hybridMultilevel"/>
    <w:tmpl w:val="5718C110"/>
    <w:lvl w:ilvl="0" w:tplc="0CF0BC60">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716334"/>
    <w:multiLevelType w:val="hybridMultilevel"/>
    <w:tmpl w:val="67A6D50E"/>
    <w:lvl w:ilvl="0" w:tplc="686C501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72020057">
    <w:abstractNumId w:val="5"/>
  </w:num>
  <w:num w:numId="2" w16cid:durableId="717046578">
    <w:abstractNumId w:val="0"/>
  </w:num>
  <w:num w:numId="3" w16cid:durableId="1424645923">
    <w:abstractNumId w:val="7"/>
  </w:num>
  <w:num w:numId="4" w16cid:durableId="642780166">
    <w:abstractNumId w:val="4"/>
  </w:num>
  <w:num w:numId="5" w16cid:durableId="1866096739">
    <w:abstractNumId w:val="3"/>
  </w:num>
  <w:num w:numId="6" w16cid:durableId="2011254335">
    <w:abstractNumId w:val="6"/>
  </w:num>
  <w:num w:numId="7" w16cid:durableId="1203521669">
    <w:abstractNumId w:val="2"/>
  </w:num>
  <w:num w:numId="8" w16cid:durableId="905383534">
    <w:abstractNumId w:val="8"/>
  </w:num>
  <w:num w:numId="9" w16cid:durableId="53643116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28"/>
    <w:rsid w:val="00000BAF"/>
    <w:rsid w:val="00001880"/>
    <w:rsid w:val="00001F56"/>
    <w:rsid w:val="00002896"/>
    <w:rsid w:val="00015F22"/>
    <w:rsid w:val="00016649"/>
    <w:rsid w:val="000178CB"/>
    <w:rsid w:val="000217CF"/>
    <w:rsid w:val="0002318D"/>
    <w:rsid w:val="00025F98"/>
    <w:rsid w:val="00037994"/>
    <w:rsid w:val="00040F72"/>
    <w:rsid w:val="00044B10"/>
    <w:rsid w:val="00046010"/>
    <w:rsid w:val="00047A69"/>
    <w:rsid w:val="00050C50"/>
    <w:rsid w:val="000529ED"/>
    <w:rsid w:val="00056640"/>
    <w:rsid w:val="000576BC"/>
    <w:rsid w:val="00061D26"/>
    <w:rsid w:val="00075A88"/>
    <w:rsid w:val="000845D8"/>
    <w:rsid w:val="000869BD"/>
    <w:rsid w:val="00086B32"/>
    <w:rsid w:val="000873CA"/>
    <w:rsid w:val="000904C3"/>
    <w:rsid w:val="00095180"/>
    <w:rsid w:val="000952BC"/>
    <w:rsid w:val="000A152D"/>
    <w:rsid w:val="000A16E8"/>
    <w:rsid w:val="000A1B11"/>
    <w:rsid w:val="000A223F"/>
    <w:rsid w:val="000A3C23"/>
    <w:rsid w:val="000A4782"/>
    <w:rsid w:val="000A5FF0"/>
    <w:rsid w:val="000A74A0"/>
    <w:rsid w:val="000B1F0C"/>
    <w:rsid w:val="000B206B"/>
    <w:rsid w:val="000B2A9B"/>
    <w:rsid w:val="000B2D7A"/>
    <w:rsid w:val="000B56B3"/>
    <w:rsid w:val="000B6C60"/>
    <w:rsid w:val="000C437A"/>
    <w:rsid w:val="000C5DDF"/>
    <w:rsid w:val="000C6234"/>
    <w:rsid w:val="000C7B67"/>
    <w:rsid w:val="000D1EDF"/>
    <w:rsid w:val="000D58B3"/>
    <w:rsid w:val="000D5CCC"/>
    <w:rsid w:val="000D6C9B"/>
    <w:rsid w:val="000E1A71"/>
    <w:rsid w:val="000E7C51"/>
    <w:rsid w:val="000F4535"/>
    <w:rsid w:val="000F696B"/>
    <w:rsid w:val="00105545"/>
    <w:rsid w:val="001061A1"/>
    <w:rsid w:val="00107D0B"/>
    <w:rsid w:val="001156C6"/>
    <w:rsid w:val="001178FD"/>
    <w:rsid w:val="00121520"/>
    <w:rsid w:val="00124EB3"/>
    <w:rsid w:val="0012560C"/>
    <w:rsid w:val="001269E9"/>
    <w:rsid w:val="001328E6"/>
    <w:rsid w:val="001329BB"/>
    <w:rsid w:val="001333F5"/>
    <w:rsid w:val="001408F3"/>
    <w:rsid w:val="00142441"/>
    <w:rsid w:val="0014394B"/>
    <w:rsid w:val="00143CD7"/>
    <w:rsid w:val="001555A3"/>
    <w:rsid w:val="001615AD"/>
    <w:rsid w:val="00162D73"/>
    <w:rsid w:val="001718CA"/>
    <w:rsid w:val="0017194C"/>
    <w:rsid w:val="001734A4"/>
    <w:rsid w:val="00174EB0"/>
    <w:rsid w:val="001801C3"/>
    <w:rsid w:val="00183DA7"/>
    <w:rsid w:val="00185ADB"/>
    <w:rsid w:val="001A2330"/>
    <w:rsid w:val="001A48AA"/>
    <w:rsid w:val="001A7EE8"/>
    <w:rsid w:val="001B2768"/>
    <w:rsid w:val="001B6556"/>
    <w:rsid w:val="001B6F70"/>
    <w:rsid w:val="001C1E42"/>
    <w:rsid w:val="001C28CE"/>
    <w:rsid w:val="001C415B"/>
    <w:rsid w:val="001C47D5"/>
    <w:rsid w:val="001C47F6"/>
    <w:rsid w:val="001C672D"/>
    <w:rsid w:val="001C7A5B"/>
    <w:rsid w:val="001D2726"/>
    <w:rsid w:val="001E0FF0"/>
    <w:rsid w:val="001E1283"/>
    <w:rsid w:val="001E2034"/>
    <w:rsid w:val="001E4DA6"/>
    <w:rsid w:val="001F33F6"/>
    <w:rsid w:val="001F7671"/>
    <w:rsid w:val="001F7B5F"/>
    <w:rsid w:val="00207C6D"/>
    <w:rsid w:val="00217C70"/>
    <w:rsid w:val="00217C86"/>
    <w:rsid w:val="00217ECD"/>
    <w:rsid w:val="002236E9"/>
    <w:rsid w:val="00224F3A"/>
    <w:rsid w:val="00225E07"/>
    <w:rsid w:val="00231B1A"/>
    <w:rsid w:val="00232A5F"/>
    <w:rsid w:val="0023414F"/>
    <w:rsid w:val="002347C4"/>
    <w:rsid w:val="00241470"/>
    <w:rsid w:val="00253088"/>
    <w:rsid w:val="00257C2C"/>
    <w:rsid w:val="002605E7"/>
    <w:rsid w:val="00261294"/>
    <w:rsid w:val="00262A02"/>
    <w:rsid w:val="0026376B"/>
    <w:rsid w:val="00274EF1"/>
    <w:rsid w:val="00277FA2"/>
    <w:rsid w:val="00280810"/>
    <w:rsid w:val="002853E3"/>
    <w:rsid w:val="0028706B"/>
    <w:rsid w:val="00287820"/>
    <w:rsid w:val="00296023"/>
    <w:rsid w:val="002B2B48"/>
    <w:rsid w:val="002B787E"/>
    <w:rsid w:val="002C4E9D"/>
    <w:rsid w:val="002C7922"/>
    <w:rsid w:val="002D19B5"/>
    <w:rsid w:val="002D1D73"/>
    <w:rsid w:val="002D461B"/>
    <w:rsid w:val="002E56F0"/>
    <w:rsid w:val="002E6B2A"/>
    <w:rsid w:val="002F31B3"/>
    <w:rsid w:val="002F6B38"/>
    <w:rsid w:val="002F759F"/>
    <w:rsid w:val="003118D2"/>
    <w:rsid w:val="003125D8"/>
    <w:rsid w:val="00315A0E"/>
    <w:rsid w:val="00321D4D"/>
    <w:rsid w:val="00323362"/>
    <w:rsid w:val="003315D8"/>
    <w:rsid w:val="00332EE5"/>
    <w:rsid w:val="003347F4"/>
    <w:rsid w:val="00334A1A"/>
    <w:rsid w:val="00335EF1"/>
    <w:rsid w:val="003424DA"/>
    <w:rsid w:val="0035282E"/>
    <w:rsid w:val="00353A59"/>
    <w:rsid w:val="00354B1D"/>
    <w:rsid w:val="0035616B"/>
    <w:rsid w:val="0036444E"/>
    <w:rsid w:val="003647DA"/>
    <w:rsid w:val="00366EA2"/>
    <w:rsid w:val="003706AB"/>
    <w:rsid w:val="003707D3"/>
    <w:rsid w:val="00371D51"/>
    <w:rsid w:val="00372B8D"/>
    <w:rsid w:val="003805C7"/>
    <w:rsid w:val="0038558A"/>
    <w:rsid w:val="00387637"/>
    <w:rsid w:val="00387CAD"/>
    <w:rsid w:val="0039411E"/>
    <w:rsid w:val="003961DE"/>
    <w:rsid w:val="00396997"/>
    <w:rsid w:val="00397854"/>
    <w:rsid w:val="003A2378"/>
    <w:rsid w:val="003A5123"/>
    <w:rsid w:val="003A7F17"/>
    <w:rsid w:val="003B13A2"/>
    <w:rsid w:val="003B1C3A"/>
    <w:rsid w:val="003B2686"/>
    <w:rsid w:val="003B540D"/>
    <w:rsid w:val="003C408C"/>
    <w:rsid w:val="003C5431"/>
    <w:rsid w:val="003C6106"/>
    <w:rsid w:val="003D52F4"/>
    <w:rsid w:val="003D566D"/>
    <w:rsid w:val="003D5F61"/>
    <w:rsid w:val="003E000A"/>
    <w:rsid w:val="003E1FFF"/>
    <w:rsid w:val="003E5613"/>
    <w:rsid w:val="003E6335"/>
    <w:rsid w:val="003E7436"/>
    <w:rsid w:val="003E755D"/>
    <w:rsid w:val="003F0F6B"/>
    <w:rsid w:val="003F1A3D"/>
    <w:rsid w:val="003F3E82"/>
    <w:rsid w:val="003F7948"/>
    <w:rsid w:val="004016F9"/>
    <w:rsid w:val="00405417"/>
    <w:rsid w:val="00405F53"/>
    <w:rsid w:val="00406241"/>
    <w:rsid w:val="00407257"/>
    <w:rsid w:val="00415178"/>
    <w:rsid w:val="00416369"/>
    <w:rsid w:val="004220E2"/>
    <w:rsid w:val="0042300C"/>
    <w:rsid w:val="00427FA6"/>
    <w:rsid w:val="004326B8"/>
    <w:rsid w:val="00435E40"/>
    <w:rsid w:val="00437A49"/>
    <w:rsid w:val="0044036D"/>
    <w:rsid w:val="0044437E"/>
    <w:rsid w:val="0044549D"/>
    <w:rsid w:val="004525DB"/>
    <w:rsid w:val="0045501C"/>
    <w:rsid w:val="0045535C"/>
    <w:rsid w:val="00462381"/>
    <w:rsid w:val="0046260E"/>
    <w:rsid w:val="0046417D"/>
    <w:rsid w:val="00464A2E"/>
    <w:rsid w:val="0046501A"/>
    <w:rsid w:val="00472AC8"/>
    <w:rsid w:val="00472CB3"/>
    <w:rsid w:val="004737F9"/>
    <w:rsid w:val="00482116"/>
    <w:rsid w:val="00485E3B"/>
    <w:rsid w:val="004A2BD3"/>
    <w:rsid w:val="004A3E10"/>
    <w:rsid w:val="004B15A3"/>
    <w:rsid w:val="004B5646"/>
    <w:rsid w:val="004B793D"/>
    <w:rsid w:val="004C0D8A"/>
    <w:rsid w:val="004C2138"/>
    <w:rsid w:val="004C250D"/>
    <w:rsid w:val="004C6F8A"/>
    <w:rsid w:val="004D387D"/>
    <w:rsid w:val="004D3BF3"/>
    <w:rsid w:val="004E1433"/>
    <w:rsid w:val="004F29FD"/>
    <w:rsid w:val="004F6264"/>
    <w:rsid w:val="004F7173"/>
    <w:rsid w:val="00506F67"/>
    <w:rsid w:val="00510089"/>
    <w:rsid w:val="005119CC"/>
    <w:rsid w:val="00512626"/>
    <w:rsid w:val="0051356C"/>
    <w:rsid w:val="005163DC"/>
    <w:rsid w:val="00516643"/>
    <w:rsid w:val="005170F9"/>
    <w:rsid w:val="005227A1"/>
    <w:rsid w:val="00527E55"/>
    <w:rsid w:val="00532FDD"/>
    <w:rsid w:val="005356D9"/>
    <w:rsid w:val="00536228"/>
    <w:rsid w:val="005375C0"/>
    <w:rsid w:val="0053770C"/>
    <w:rsid w:val="00540E28"/>
    <w:rsid w:val="005415E9"/>
    <w:rsid w:val="0054192C"/>
    <w:rsid w:val="005431E5"/>
    <w:rsid w:val="00550780"/>
    <w:rsid w:val="0055380B"/>
    <w:rsid w:val="00556BBD"/>
    <w:rsid w:val="0056262C"/>
    <w:rsid w:val="00570CC2"/>
    <w:rsid w:val="00573D1D"/>
    <w:rsid w:val="00574A1A"/>
    <w:rsid w:val="00584547"/>
    <w:rsid w:val="0058657E"/>
    <w:rsid w:val="00593C23"/>
    <w:rsid w:val="00594692"/>
    <w:rsid w:val="00596B0D"/>
    <w:rsid w:val="00596BFD"/>
    <w:rsid w:val="00597EDE"/>
    <w:rsid w:val="005A49D7"/>
    <w:rsid w:val="005B5CAF"/>
    <w:rsid w:val="005C3E4C"/>
    <w:rsid w:val="005C48BA"/>
    <w:rsid w:val="005C7871"/>
    <w:rsid w:val="005D2663"/>
    <w:rsid w:val="005F1A16"/>
    <w:rsid w:val="005F2F98"/>
    <w:rsid w:val="005F3D2D"/>
    <w:rsid w:val="0060181F"/>
    <w:rsid w:val="00601CF9"/>
    <w:rsid w:val="00611B7C"/>
    <w:rsid w:val="00613914"/>
    <w:rsid w:val="00615AD1"/>
    <w:rsid w:val="00617202"/>
    <w:rsid w:val="0062083E"/>
    <w:rsid w:val="006228F7"/>
    <w:rsid w:val="0062355A"/>
    <w:rsid w:val="00627374"/>
    <w:rsid w:val="00634544"/>
    <w:rsid w:val="006359CE"/>
    <w:rsid w:val="006368CC"/>
    <w:rsid w:val="00636B2D"/>
    <w:rsid w:val="00636B4B"/>
    <w:rsid w:val="006430E1"/>
    <w:rsid w:val="00643CB4"/>
    <w:rsid w:val="00643E7A"/>
    <w:rsid w:val="0065088C"/>
    <w:rsid w:val="00650BE5"/>
    <w:rsid w:val="00651766"/>
    <w:rsid w:val="00652850"/>
    <w:rsid w:val="0065571E"/>
    <w:rsid w:val="006613CC"/>
    <w:rsid w:val="0066402C"/>
    <w:rsid w:val="00665D6B"/>
    <w:rsid w:val="0066706E"/>
    <w:rsid w:val="0066765D"/>
    <w:rsid w:val="006700F6"/>
    <w:rsid w:val="00671A9D"/>
    <w:rsid w:val="00672721"/>
    <w:rsid w:val="0067292A"/>
    <w:rsid w:val="00682615"/>
    <w:rsid w:val="006826C6"/>
    <w:rsid w:val="00682DCA"/>
    <w:rsid w:val="006945F3"/>
    <w:rsid w:val="006969E7"/>
    <w:rsid w:val="006A59C2"/>
    <w:rsid w:val="006A6C28"/>
    <w:rsid w:val="006B2E6B"/>
    <w:rsid w:val="006B3823"/>
    <w:rsid w:val="006B3B55"/>
    <w:rsid w:val="006B4BA7"/>
    <w:rsid w:val="006B5CE9"/>
    <w:rsid w:val="006B7E44"/>
    <w:rsid w:val="006C0375"/>
    <w:rsid w:val="006C1121"/>
    <w:rsid w:val="006C21E0"/>
    <w:rsid w:val="006C29A8"/>
    <w:rsid w:val="006D3B5A"/>
    <w:rsid w:val="006D560C"/>
    <w:rsid w:val="006E19A0"/>
    <w:rsid w:val="006F7A84"/>
    <w:rsid w:val="00700AE8"/>
    <w:rsid w:val="00704A61"/>
    <w:rsid w:val="0070610C"/>
    <w:rsid w:val="0071293D"/>
    <w:rsid w:val="007157F0"/>
    <w:rsid w:val="00721382"/>
    <w:rsid w:val="00722E20"/>
    <w:rsid w:val="00727A4A"/>
    <w:rsid w:val="007341A3"/>
    <w:rsid w:val="00734C48"/>
    <w:rsid w:val="0073577C"/>
    <w:rsid w:val="007357F4"/>
    <w:rsid w:val="00737C5D"/>
    <w:rsid w:val="00740F4F"/>
    <w:rsid w:val="0074421C"/>
    <w:rsid w:val="0074594E"/>
    <w:rsid w:val="00745C6B"/>
    <w:rsid w:val="00750B80"/>
    <w:rsid w:val="0075481D"/>
    <w:rsid w:val="00760567"/>
    <w:rsid w:val="00772FB4"/>
    <w:rsid w:val="00774DD3"/>
    <w:rsid w:val="00775F95"/>
    <w:rsid w:val="00786B6F"/>
    <w:rsid w:val="00795E61"/>
    <w:rsid w:val="007A5059"/>
    <w:rsid w:val="007A76CD"/>
    <w:rsid w:val="007B79BE"/>
    <w:rsid w:val="007C4713"/>
    <w:rsid w:val="007C6097"/>
    <w:rsid w:val="007D2EEC"/>
    <w:rsid w:val="007D4245"/>
    <w:rsid w:val="007D5CAA"/>
    <w:rsid w:val="007D637F"/>
    <w:rsid w:val="007D68CA"/>
    <w:rsid w:val="007E2768"/>
    <w:rsid w:val="007E3B9A"/>
    <w:rsid w:val="007E50A8"/>
    <w:rsid w:val="007E5615"/>
    <w:rsid w:val="007E674D"/>
    <w:rsid w:val="007E7E4F"/>
    <w:rsid w:val="007F279F"/>
    <w:rsid w:val="007F48B0"/>
    <w:rsid w:val="007F566C"/>
    <w:rsid w:val="007F5DFD"/>
    <w:rsid w:val="00803A24"/>
    <w:rsid w:val="00803C55"/>
    <w:rsid w:val="008077BB"/>
    <w:rsid w:val="0082199F"/>
    <w:rsid w:val="00822EB9"/>
    <w:rsid w:val="00825C11"/>
    <w:rsid w:val="00831DEA"/>
    <w:rsid w:val="008335DB"/>
    <w:rsid w:val="0083540B"/>
    <w:rsid w:val="00843FAB"/>
    <w:rsid w:val="00844A73"/>
    <w:rsid w:val="00844F82"/>
    <w:rsid w:val="00844FA3"/>
    <w:rsid w:val="00846AB2"/>
    <w:rsid w:val="008500E2"/>
    <w:rsid w:val="008542E6"/>
    <w:rsid w:val="00855235"/>
    <w:rsid w:val="00856940"/>
    <w:rsid w:val="00861E7E"/>
    <w:rsid w:val="00863F0D"/>
    <w:rsid w:val="008658EC"/>
    <w:rsid w:val="00872268"/>
    <w:rsid w:val="0087498E"/>
    <w:rsid w:val="0088099D"/>
    <w:rsid w:val="00883138"/>
    <w:rsid w:val="00887300"/>
    <w:rsid w:val="008874A2"/>
    <w:rsid w:val="00887526"/>
    <w:rsid w:val="00887F8C"/>
    <w:rsid w:val="00893370"/>
    <w:rsid w:val="00896013"/>
    <w:rsid w:val="008970CB"/>
    <w:rsid w:val="008A1F63"/>
    <w:rsid w:val="008A2BE5"/>
    <w:rsid w:val="008A5001"/>
    <w:rsid w:val="008A6289"/>
    <w:rsid w:val="008A7B0B"/>
    <w:rsid w:val="008B0882"/>
    <w:rsid w:val="008B5097"/>
    <w:rsid w:val="008C331A"/>
    <w:rsid w:val="008C5DF2"/>
    <w:rsid w:val="008C7F7C"/>
    <w:rsid w:val="008D2AD1"/>
    <w:rsid w:val="008D6304"/>
    <w:rsid w:val="008E2159"/>
    <w:rsid w:val="008E241D"/>
    <w:rsid w:val="008E2E4F"/>
    <w:rsid w:val="008E33AD"/>
    <w:rsid w:val="008E6CFD"/>
    <w:rsid w:val="008E7233"/>
    <w:rsid w:val="008F4946"/>
    <w:rsid w:val="008F516C"/>
    <w:rsid w:val="008F6B16"/>
    <w:rsid w:val="0090188E"/>
    <w:rsid w:val="009020BD"/>
    <w:rsid w:val="009079D1"/>
    <w:rsid w:val="00910C74"/>
    <w:rsid w:val="0091248C"/>
    <w:rsid w:val="009238D4"/>
    <w:rsid w:val="009245C6"/>
    <w:rsid w:val="009247C8"/>
    <w:rsid w:val="00926D5C"/>
    <w:rsid w:val="0093013B"/>
    <w:rsid w:val="00932DBB"/>
    <w:rsid w:val="009335C1"/>
    <w:rsid w:val="009371C9"/>
    <w:rsid w:val="00940853"/>
    <w:rsid w:val="009440EB"/>
    <w:rsid w:val="00946874"/>
    <w:rsid w:val="0095569D"/>
    <w:rsid w:val="00960214"/>
    <w:rsid w:val="0096129E"/>
    <w:rsid w:val="00962214"/>
    <w:rsid w:val="00962BC1"/>
    <w:rsid w:val="00964602"/>
    <w:rsid w:val="0096518F"/>
    <w:rsid w:val="009666D1"/>
    <w:rsid w:val="00973B49"/>
    <w:rsid w:val="0098167C"/>
    <w:rsid w:val="009819CA"/>
    <w:rsid w:val="00984533"/>
    <w:rsid w:val="00985401"/>
    <w:rsid w:val="00990BE2"/>
    <w:rsid w:val="00991FE9"/>
    <w:rsid w:val="0099231D"/>
    <w:rsid w:val="009953F0"/>
    <w:rsid w:val="009A0E9E"/>
    <w:rsid w:val="009A4432"/>
    <w:rsid w:val="009A4759"/>
    <w:rsid w:val="009B11EA"/>
    <w:rsid w:val="009B5942"/>
    <w:rsid w:val="009C2F0A"/>
    <w:rsid w:val="009C3B76"/>
    <w:rsid w:val="009C73A5"/>
    <w:rsid w:val="009D12D8"/>
    <w:rsid w:val="009D2BF5"/>
    <w:rsid w:val="009D45B3"/>
    <w:rsid w:val="009E00EC"/>
    <w:rsid w:val="009E027B"/>
    <w:rsid w:val="009E321A"/>
    <w:rsid w:val="009E39AD"/>
    <w:rsid w:val="009E670D"/>
    <w:rsid w:val="00A01308"/>
    <w:rsid w:val="00A01A1F"/>
    <w:rsid w:val="00A02175"/>
    <w:rsid w:val="00A03676"/>
    <w:rsid w:val="00A06076"/>
    <w:rsid w:val="00A10175"/>
    <w:rsid w:val="00A1087B"/>
    <w:rsid w:val="00A11354"/>
    <w:rsid w:val="00A212A4"/>
    <w:rsid w:val="00A26297"/>
    <w:rsid w:val="00A26318"/>
    <w:rsid w:val="00A26F12"/>
    <w:rsid w:val="00A37FD8"/>
    <w:rsid w:val="00A403F3"/>
    <w:rsid w:val="00A44DA0"/>
    <w:rsid w:val="00A4762E"/>
    <w:rsid w:val="00A47AD4"/>
    <w:rsid w:val="00A52B3A"/>
    <w:rsid w:val="00A53900"/>
    <w:rsid w:val="00A55ABF"/>
    <w:rsid w:val="00A56F87"/>
    <w:rsid w:val="00A62F73"/>
    <w:rsid w:val="00A649A2"/>
    <w:rsid w:val="00A76022"/>
    <w:rsid w:val="00A7684D"/>
    <w:rsid w:val="00A82C7C"/>
    <w:rsid w:val="00A84A54"/>
    <w:rsid w:val="00A9124D"/>
    <w:rsid w:val="00A91706"/>
    <w:rsid w:val="00A97D28"/>
    <w:rsid w:val="00AA2EDA"/>
    <w:rsid w:val="00AA66AC"/>
    <w:rsid w:val="00AB3C70"/>
    <w:rsid w:val="00AC18B9"/>
    <w:rsid w:val="00AC5778"/>
    <w:rsid w:val="00AD0FFA"/>
    <w:rsid w:val="00AD2A4F"/>
    <w:rsid w:val="00AE033E"/>
    <w:rsid w:val="00AE1775"/>
    <w:rsid w:val="00AE36D7"/>
    <w:rsid w:val="00AF055C"/>
    <w:rsid w:val="00AF0DC0"/>
    <w:rsid w:val="00AF14F4"/>
    <w:rsid w:val="00AF2BBF"/>
    <w:rsid w:val="00AF3CDF"/>
    <w:rsid w:val="00AF4242"/>
    <w:rsid w:val="00AF5CF7"/>
    <w:rsid w:val="00B004BC"/>
    <w:rsid w:val="00B0329B"/>
    <w:rsid w:val="00B053D7"/>
    <w:rsid w:val="00B1196B"/>
    <w:rsid w:val="00B135C6"/>
    <w:rsid w:val="00B153A4"/>
    <w:rsid w:val="00B2065B"/>
    <w:rsid w:val="00B22694"/>
    <w:rsid w:val="00B2363F"/>
    <w:rsid w:val="00B236ED"/>
    <w:rsid w:val="00B248C5"/>
    <w:rsid w:val="00B25D8E"/>
    <w:rsid w:val="00B30D7D"/>
    <w:rsid w:val="00B354BC"/>
    <w:rsid w:val="00B40093"/>
    <w:rsid w:val="00B53C60"/>
    <w:rsid w:val="00B54D3D"/>
    <w:rsid w:val="00B638A8"/>
    <w:rsid w:val="00B70456"/>
    <w:rsid w:val="00B76A51"/>
    <w:rsid w:val="00B8338C"/>
    <w:rsid w:val="00B909E3"/>
    <w:rsid w:val="00B95603"/>
    <w:rsid w:val="00BA3695"/>
    <w:rsid w:val="00BA4883"/>
    <w:rsid w:val="00BA5B23"/>
    <w:rsid w:val="00BB0F9E"/>
    <w:rsid w:val="00BC2D8F"/>
    <w:rsid w:val="00BC5F61"/>
    <w:rsid w:val="00BC606D"/>
    <w:rsid w:val="00BC6F4A"/>
    <w:rsid w:val="00BC7FE5"/>
    <w:rsid w:val="00BD0325"/>
    <w:rsid w:val="00BD6485"/>
    <w:rsid w:val="00BF2B59"/>
    <w:rsid w:val="00BF3E97"/>
    <w:rsid w:val="00BF6F89"/>
    <w:rsid w:val="00BF799D"/>
    <w:rsid w:val="00C01CA6"/>
    <w:rsid w:val="00C01CC8"/>
    <w:rsid w:val="00C0206F"/>
    <w:rsid w:val="00C02260"/>
    <w:rsid w:val="00C0288C"/>
    <w:rsid w:val="00C1375B"/>
    <w:rsid w:val="00C142EB"/>
    <w:rsid w:val="00C16697"/>
    <w:rsid w:val="00C1691F"/>
    <w:rsid w:val="00C2041E"/>
    <w:rsid w:val="00C204A7"/>
    <w:rsid w:val="00C243D6"/>
    <w:rsid w:val="00C30482"/>
    <w:rsid w:val="00C311CA"/>
    <w:rsid w:val="00C338F8"/>
    <w:rsid w:val="00C40AFA"/>
    <w:rsid w:val="00C42DD6"/>
    <w:rsid w:val="00C436E8"/>
    <w:rsid w:val="00C4438D"/>
    <w:rsid w:val="00C44852"/>
    <w:rsid w:val="00C52A18"/>
    <w:rsid w:val="00C53A81"/>
    <w:rsid w:val="00C55E13"/>
    <w:rsid w:val="00C5733B"/>
    <w:rsid w:val="00C6322B"/>
    <w:rsid w:val="00C63AA6"/>
    <w:rsid w:val="00C65674"/>
    <w:rsid w:val="00C66D81"/>
    <w:rsid w:val="00C673AE"/>
    <w:rsid w:val="00C767D3"/>
    <w:rsid w:val="00C771DE"/>
    <w:rsid w:val="00C804B0"/>
    <w:rsid w:val="00C839CE"/>
    <w:rsid w:val="00C845FE"/>
    <w:rsid w:val="00C9702A"/>
    <w:rsid w:val="00C9764E"/>
    <w:rsid w:val="00CA2A39"/>
    <w:rsid w:val="00CA2BB1"/>
    <w:rsid w:val="00CA50D8"/>
    <w:rsid w:val="00CB0988"/>
    <w:rsid w:val="00CB62FE"/>
    <w:rsid w:val="00CD0355"/>
    <w:rsid w:val="00CD096A"/>
    <w:rsid w:val="00CD0FCA"/>
    <w:rsid w:val="00CD5144"/>
    <w:rsid w:val="00CE0ACB"/>
    <w:rsid w:val="00CE4C20"/>
    <w:rsid w:val="00CF6320"/>
    <w:rsid w:val="00CF7164"/>
    <w:rsid w:val="00D010E6"/>
    <w:rsid w:val="00D053D5"/>
    <w:rsid w:val="00D07F08"/>
    <w:rsid w:val="00D111CA"/>
    <w:rsid w:val="00D17884"/>
    <w:rsid w:val="00D20088"/>
    <w:rsid w:val="00D2075D"/>
    <w:rsid w:val="00D30995"/>
    <w:rsid w:val="00D3218D"/>
    <w:rsid w:val="00D36188"/>
    <w:rsid w:val="00D37343"/>
    <w:rsid w:val="00D37FCD"/>
    <w:rsid w:val="00D37FDF"/>
    <w:rsid w:val="00D43447"/>
    <w:rsid w:val="00D45A00"/>
    <w:rsid w:val="00D46AE6"/>
    <w:rsid w:val="00D47169"/>
    <w:rsid w:val="00D47781"/>
    <w:rsid w:val="00D4798F"/>
    <w:rsid w:val="00D51CF2"/>
    <w:rsid w:val="00D52E92"/>
    <w:rsid w:val="00D5413E"/>
    <w:rsid w:val="00D55EB6"/>
    <w:rsid w:val="00D60153"/>
    <w:rsid w:val="00D61AFE"/>
    <w:rsid w:val="00D629FF"/>
    <w:rsid w:val="00D6308C"/>
    <w:rsid w:val="00D64239"/>
    <w:rsid w:val="00D64DF2"/>
    <w:rsid w:val="00D66529"/>
    <w:rsid w:val="00D66B39"/>
    <w:rsid w:val="00D67B70"/>
    <w:rsid w:val="00D727F6"/>
    <w:rsid w:val="00D749F3"/>
    <w:rsid w:val="00D77DC9"/>
    <w:rsid w:val="00D8045B"/>
    <w:rsid w:val="00D83CF3"/>
    <w:rsid w:val="00D85EA3"/>
    <w:rsid w:val="00D90E38"/>
    <w:rsid w:val="00D91DCF"/>
    <w:rsid w:val="00D91FA5"/>
    <w:rsid w:val="00D930F0"/>
    <w:rsid w:val="00DB09E6"/>
    <w:rsid w:val="00DB24F7"/>
    <w:rsid w:val="00DB4F33"/>
    <w:rsid w:val="00DB5BAF"/>
    <w:rsid w:val="00DB6499"/>
    <w:rsid w:val="00DC0829"/>
    <w:rsid w:val="00DC4496"/>
    <w:rsid w:val="00DD171D"/>
    <w:rsid w:val="00DD1E3C"/>
    <w:rsid w:val="00DD44DC"/>
    <w:rsid w:val="00DD7E40"/>
    <w:rsid w:val="00DE34F1"/>
    <w:rsid w:val="00DE63E9"/>
    <w:rsid w:val="00DE73A7"/>
    <w:rsid w:val="00DF18FD"/>
    <w:rsid w:val="00DF5056"/>
    <w:rsid w:val="00E037D3"/>
    <w:rsid w:val="00E10051"/>
    <w:rsid w:val="00E14B8E"/>
    <w:rsid w:val="00E151B3"/>
    <w:rsid w:val="00E15D83"/>
    <w:rsid w:val="00E16B60"/>
    <w:rsid w:val="00E22213"/>
    <w:rsid w:val="00E23428"/>
    <w:rsid w:val="00E25028"/>
    <w:rsid w:val="00E25BFE"/>
    <w:rsid w:val="00E35808"/>
    <w:rsid w:val="00E4142F"/>
    <w:rsid w:val="00E42F76"/>
    <w:rsid w:val="00E43872"/>
    <w:rsid w:val="00E4495D"/>
    <w:rsid w:val="00E47137"/>
    <w:rsid w:val="00E64974"/>
    <w:rsid w:val="00E657F0"/>
    <w:rsid w:val="00E67BB0"/>
    <w:rsid w:val="00E75A12"/>
    <w:rsid w:val="00E761FB"/>
    <w:rsid w:val="00E762DF"/>
    <w:rsid w:val="00E83285"/>
    <w:rsid w:val="00E836C5"/>
    <w:rsid w:val="00E8460B"/>
    <w:rsid w:val="00E86E1F"/>
    <w:rsid w:val="00E87E2A"/>
    <w:rsid w:val="00E94F39"/>
    <w:rsid w:val="00E957DF"/>
    <w:rsid w:val="00E9587C"/>
    <w:rsid w:val="00E97555"/>
    <w:rsid w:val="00EA5E63"/>
    <w:rsid w:val="00EA693A"/>
    <w:rsid w:val="00EB295D"/>
    <w:rsid w:val="00EB434B"/>
    <w:rsid w:val="00EC29D1"/>
    <w:rsid w:val="00EC5562"/>
    <w:rsid w:val="00EC5C6F"/>
    <w:rsid w:val="00ED4FEE"/>
    <w:rsid w:val="00EE2403"/>
    <w:rsid w:val="00EE39F2"/>
    <w:rsid w:val="00EE5CD3"/>
    <w:rsid w:val="00EF1494"/>
    <w:rsid w:val="00F000D0"/>
    <w:rsid w:val="00F02A56"/>
    <w:rsid w:val="00F11242"/>
    <w:rsid w:val="00F12A16"/>
    <w:rsid w:val="00F14ED1"/>
    <w:rsid w:val="00F25A0C"/>
    <w:rsid w:val="00F26ED5"/>
    <w:rsid w:val="00F27516"/>
    <w:rsid w:val="00F27DD2"/>
    <w:rsid w:val="00F31407"/>
    <w:rsid w:val="00F47D25"/>
    <w:rsid w:val="00F52E19"/>
    <w:rsid w:val="00F55553"/>
    <w:rsid w:val="00F55994"/>
    <w:rsid w:val="00F55E1D"/>
    <w:rsid w:val="00F55FB2"/>
    <w:rsid w:val="00F573C0"/>
    <w:rsid w:val="00F63C22"/>
    <w:rsid w:val="00F660AC"/>
    <w:rsid w:val="00F67A33"/>
    <w:rsid w:val="00F70D0D"/>
    <w:rsid w:val="00F713DE"/>
    <w:rsid w:val="00F7201E"/>
    <w:rsid w:val="00F73CB9"/>
    <w:rsid w:val="00F81607"/>
    <w:rsid w:val="00F81B9E"/>
    <w:rsid w:val="00F84D59"/>
    <w:rsid w:val="00F874C2"/>
    <w:rsid w:val="00F87808"/>
    <w:rsid w:val="00F92A69"/>
    <w:rsid w:val="00F97CEB"/>
    <w:rsid w:val="00F97CFB"/>
    <w:rsid w:val="00FA029D"/>
    <w:rsid w:val="00FA03B7"/>
    <w:rsid w:val="00FA100E"/>
    <w:rsid w:val="00FB00FE"/>
    <w:rsid w:val="00FB66C8"/>
    <w:rsid w:val="00FC1DB0"/>
    <w:rsid w:val="00FD050C"/>
    <w:rsid w:val="00FE1CA3"/>
    <w:rsid w:val="00FE667D"/>
    <w:rsid w:val="00FE7C04"/>
    <w:rsid w:val="00FF374E"/>
    <w:rsid w:val="00FF7A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87954"/>
  <w15:docId w15:val="{835A97CF-5F68-45BA-A5A2-DC1D6FA1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C18B9"/>
    <w:pPr>
      <w:suppressAutoHyphens/>
    </w:pPr>
    <w:rPr>
      <w:rFonts w:ascii="Calibri" w:eastAsia="Calibri" w:hAnsi="Calibri" w:cs="Calibri"/>
      <w:sz w:val="22"/>
      <w:szCs w:val="22"/>
      <w:lang w:val="es-ES" w:eastAsia="ar-SA"/>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pPr>
      <w:keepNext/>
      <w:keepLines/>
      <w:spacing w:before="200"/>
      <w:outlineLvl w:val="1"/>
    </w:pPr>
    <w:rPr>
      <w:rFonts w:ascii="Cambria" w:eastAsia="Times New Roman" w:hAnsi="Cambria" w:cs="Times New Roman"/>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7">
    <w:name w:val="Fuente de párrafo predeter.7"/>
  </w:style>
  <w:style w:type="character" w:customStyle="1" w:styleId="Absatz-Standardschriftart">
    <w:name w:val="Absatz-Standardschriftart"/>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2">
    <w:name w:val="Fuente de párrafo predeter.2"/>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0">
    <w:name w:val="WW8Num1z0"/>
    <w:rPr>
      <w:rFonts w:cs="Times New Roman"/>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Fuentedeprrafopredeter1">
    <w:name w:val="Fuente de párrafo predeter.1"/>
  </w:style>
  <w:style w:type="character" w:customStyle="1" w:styleId="TextoindependienteCar">
    <w:name w:val="Texto independiente Car"/>
    <w:rPr>
      <w:rFonts w:ascii="Arial" w:hAnsi="Arial" w:cs="Arial"/>
      <w:sz w:val="20"/>
      <w:szCs w:val="20"/>
      <w:lang w:val="es"/>
    </w:rPr>
  </w:style>
  <w:style w:type="character" w:customStyle="1" w:styleId="TtuloCar">
    <w:name w:val="Título Car"/>
    <w:rPr>
      <w:rFonts w:ascii="Arial" w:hAnsi="Arial" w:cs="Arial"/>
      <w:b/>
      <w:bCs/>
      <w:sz w:val="20"/>
      <w:szCs w:val="20"/>
      <w:lang w:val="es"/>
    </w:rPr>
  </w:style>
  <w:style w:type="character" w:customStyle="1" w:styleId="TextodegloboCar">
    <w:name w:val="Texto de globo Car"/>
    <w:rPr>
      <w:rFonts w:ascii="Tahoma" w:hAnsi="Tahoma" w:cs="Tahoma"/>
      <w:sz w:val="16"/>
      <w:szCs w:val="16"/>
    </w:rPr>
  </w:style>
  <w:style w:type="character" w:customStyle="1" w:styleId="EncabezadoCar">
    <w:name w:val="Encabezado Car"/>
    <w:rPr>
      <w:rFonts w:ascii="Calibri" w:hAnsi="Calibri" w:cs="Calibri"/>
    </w:rPr>
  </w:style>
  <w:style w:type="character" w:customStyle="1" w:styleId="PiedepginaCar">
    <w:name w:val="Pie de página Car"/>
    <w:rPr>
      <w:rFonts w:ascii="Calibri" w:hAnsi="Calibri" w:cs="Calibri"/>
    </w:rPr>
  </w:style>
  <w:style w:type="character" w:customStyle="1" w:styleId="WW8Num7z1">
    <w:name w:val="WW8Num7z1"/>
    <w:rPr>
      <w:rFonts w:ascii="Courier New" w:hAnsi="Courier New"/>
    </w:rPr>
  </w:style>
  <w:style w:type="character" w:styleId="Hipervnculo">
    <w:name w:val="Hyperlink"/>
    <w:rPr>
      <w:rFonts w:cs="Times New Roman"/>
      <w:color w:val="0000FF"/>
      <w:u w:val="single"/>
    </w:rPr>
  </w:style>
  <w:style w:type="character" w:customStyle="1" w:styleId="TextonotapieCar">
    <w:name w:val="Texto nota pie Car"/>
    <w:rPr>
      <w:rFonts w:ascii="Calibri" w:hAnsi="Calibri" w:cs="Calibri"/>
      <w:sz w:val="20"/>
      <w:szCs w:val="20"/>
    </w:rPr>
  </w:style>
  <w:style w:type="character" w:customStyle="1" w:styleId="Smbolodenotaalpie">
    <w:name w:val="Símbolo de nota al pie"/>
    <w:rPr>
      <w:rFonts w:cs="Times New Roman"/>
      <w:position w:val="0"/>
      <w:vertAlign w:val="superscript"/>
    </w:rPr>
  </w:style>
  <w:style w:type="character" w:customStyle="1" w:styleId="Ttulo1Car">
    <w:name w:val="Título 1 Car"/>
    <w:rPr>
      <w:rFonts w:ascii="Cambria" w:eastAsia="Times New Roman" w:hAnsi="Cambria" w:cs="Times New Roman"/>
      <w:b/>
      <w:bCs/>
      <w:color w:val="365F91"/>
      <w:sz w:val="28"/>
      <w:szCs w:val="28"/>
      <w:lang w:val="es-ES"/>
    </w:rPr>
  </w:style>
  <w:style w:type="character" w:customStyle="1" w:styleId="Ttulo2Car">
    <w:name w:val="Título 2 Car"/>
    <w:rPr>
      <w:rFonts w:ascii="Cambria" w:eastAsia="Times New Roman" w:hAnsi="Cambria" w:cs="Times New Roman"/>
      <w:b/>
      <w:bCs/>
      <w:color w:val="4F81BD"/>
      <w:sz w:val="26"/>
      <w:szCs w:val="26"/>
      <w:lang w:val="es-ES"/>
    </w:rPr>
  </w:style>
  <w:style w:type="character" w:customStyle="1" w:styleId="EncabezadodemensajeCar">
    <w:name w:val="Encabezado de mensaje Car"/>
    <w:rPr>
      <w:rFonts w:ascii="Cambria" w:eastAsia="Times New Roman" w:hAnsi="Cambria" w:cs="Times New Roman"/>
      <w:sz w:val="24"/>
      <w:szCs w:val="24"/>
      <w:shd w:val="clear" w:color="auto" w:fill="CCCCCC"/>
      <w:lang w:val="es-ES"/>
    </w:rPr>
  </w:style>
  <w:style w:type="character" w:customStyle="1" w:styleId="SubttuloCar">
    <w:name w:val="Subtítulo Car"/>
    <w:rPr>
      <w:rFonts w:ascii="Cambria" w:eastAsia="Times New Roman" w:hAnsi="Cambria" w:cs="Times New Roman"/>
      <w:i/>
      <w:iCs/>
      <w:color w:val="4F81BD"/>
      <w:spacing w:val="15"/>
      <w:sz w:val="24"/>
      <w:szCs w:val="24"/>
      <w:lang w:val="es-ES"/>
    </w:rPr>
  </w:style>
  <w:style w:type="character" w:customStyle="1" w:styleId="Refdecomentario1">
    <w:name w:val="Ref. de comentario1"/>
    <w:rPr>
      <w:sz w:val="16"/>
      <w:szCs w:val="16"/>
    </w:rPr>
  </w:style>
  <w:style w:type="character" w:customStyle="1" w:styleId="TextocomentarioCar">
    <w:name w:val="Texto comentario Car"/>
    <w:rPr>
      <w:rFonts w:ascii="Calibri" w:eastAsia="Calibri" w:hAnsi="Calibri" w:cs="Calibri"/>
      <w:lang w:val="es-ES"/>
    </w:rPr>
  </w:style>
  <w:style w:type="character" w:customStyle="1" w:styleId="AsuntodelcomentarioCar">
    <w:name w:val="Asunto del comentario Car"/>
    <w:rPr>
      <w:rFonts w:ascii="Calibri" w:eastAsia="Calibri" w:hAnsi="Calibri" w:cs="Calibri"/>
      <w:b/>
      <w:bCs/>
      <w:lang w:val="es-ES"/>
    </w:rPr>
  </w:style>
  <w:style w:type="paragraph" w:customStyle="1" w:styleId="Encabezado7">
    <w:name w:val="Encabezado7"/>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jc w:val="both"/>
    </w:pPr>
    <w:rPr>
      <w:rFonts w:ascii="Arial" w:eastAsia="Times New Roman" w:hAnsi="Arial" w:cs="Arial"/>
      <w:lang w:val="es"/>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pPr>
    <w:rPr>
      <w:rFonts w:ascii="Arial" w:eastAsia="MS Mincho" w:hAnsi="Arial" w:cs="Tahoma"/>
      <w:sz w:val="28"/>
      <w:szCs w:val="28"/>
    </w:rPr>
  </w:style>
  <w:style w:type="paragraph" w:customStyle="1" w:styleId="Encabezado3">
    <w:name w:val="Encabezado3"/>
    <w:basedOn w:val="Normal"/>
    <w:next w:val="Textoindependiente"/>
    <w:pPr>
      <w:keepNext/>
      <w:spacing w:before="240" w:after="120"/>
    </w:pPr>
    <w:rPr>
      <w:rFonts w:ascii="Arial" w:eastAsia="MS Mincho" w:hAnsi="Arial" w:cs="Tahoma"/>
      <w:sz w:val="28"/>
      <w:szCs w:val="28"/>
    </w:rPr>
  </w:style>
  <w:style w:type="paragraph" w:customStyle="1" w:styleId="Encabezado2">
    <w:name w:val="Encabezado2"/>
    <w:basedOn w:val="Normal"/>
    <w:next w:val="Textoindependiente"/>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tulo">
    <w:name w:val="Title"/>
    <w:basedOn w:val="Normal"/>
    <w:next w:val="Subttulo"/>
    <w:pPr>
      <w:widowControl w:val="0"/>
      <w:jc w:val="center"/>
    </w:pPr>
    <w:rPr>
      <w:rFonts w:ascii="Arial" w:eastAsia="Times New Roman" w:hAnsi="Arial" w:cs="Arial"/>
      <w:b/>
      <w:bCs/>
      <w:lang w:val="es"/>
    </w:rPr>
  </w:style>
  <w:style w:type="paragraph" w:styleId="Subttulo">
    <w:name w:val="Subtitle"/>
    <w:basedOn w:val="Normal"/>
    <w:next w:val="Normal"/>
    <w:rPr>
      <w:rFonts w:ascii="Cambria" w:eastAsia="Times New Roman" w:hAnsi="Cambria" w:cs="Times New Roman"/>
      <w:i/>
      <w:iCs/>
      <w:color w:val="4F81BD"/>
      <w:spacing w:val="15"/>
      <w:sz w:val="24"/>
      <w:szCs w:val="24"/>
    </w:rPr>
  </w:style>
  <w:style w:type="paragraph" w:styleId="Textodeglobo">
    <w:name w:val="Balloon Text"/>
    <w:basedOn w:val="Normal"/>
    <w:rPr>
      <w:rFonts w:ascii="Tahoma" w:hAnsi="Tahoma" w:cs="Tahoma"/>
      <w:sz w:val="16"/>
      <w:szCs w:val="16"/>
    </w:rPr>
  </w:style>
  <w:style w:type="paragraph" w:styleId="Encabezado">
    <w:name w:val="header"/>
    <w:basedOn w:val="Normal"/>
  </w:style>
  <w:style w:type="paragraph" w:styleId="Piedepgina">
    <w:name w:val="footer"/>
    <w:basedOn w:val="Normal"/>
  </w:style>
  <w:style w:type="paragraph" w:styleId="Textonotapie">
    <w:name w:val="footnote text"/>
    <w:aliases w:val="fn,footnote text,FOOTNOTES,single space,Char Char,Footnote,Car,Footnote Text Char Char Char Char Char,Footnote Text Char Char Char Char,Footnote reference,FA Fu,Footnote Text Char Char Char,Footnote Text Char,texto de nota al pi,BVI fnr"/>
    <w:basedOn w:val="Normal"/>
    <w:link w:val="TextonotapieCar1"/>
    <w:qFormat/>
    <w:rPr>
      <w:sz w:val="20"/>
      <w:szCs w:val="20"/>
    </w:rPr>
  </w:style>
  <w:style w:type="paragraph" w:customStyle="1" w:styleId="CharCharCharChar">
    <w:name w:val="Char Char Char Char"/>
    <w:basedOn w:val="Normal"/>
    <w:pPr>
      <w:spacing w:after="160" w:line="240" w:lineRule="exact"/>
    </w:pPr>
    <w:rPr>
      <w:rFonts w:ascii="Verdana" w:eastAsia="Times New Roman" w:hAnsi="Verdana" w:cs="Times New Roman"/>
      <w:sz w:val="20"/>
      <w:szCs w:val="20"/>
      <w:lang w:val="en-US"/>
    </w:rPr>
  </w:style>
  <w:style w:type="paragraph" w:customStyle="1" w:styleId="Encabezadodemensaje1">
    <w:name w:val="Encabezado de mensaje1"/>
    <w:basedOn w:val="Normal"/>
    <w:pPr>
      <w:shd w:val="clear" w:color="auto" w:fill="CCCCCC"/>
      <w:ind w:left="1134" w:hanging="1134"/>
    </w:pPr>
    <w:rPr>
      <w:rFonts w:ascii="Cambria" w:eastAsia="Times New Roman" w:hAnsi="Cambria" w:cs="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extocomentario1">
    <w:name w:val="Texto comentario1"/>
    <w:basedOn w:val="Normal"/>
    <w:rPr>
      <w:rFonts w:cs="Times New Roman"/>
      <w:sz w:val="20"/>
      <w:szCs w:val="20"/>
    </w:rPr>
  </w:style>
  <w:style w:type="paragraph" w:styleId="Asuntodelcomentario">
    <w:name w:val="annotation subject"/>
    <w:basedOn w:val="Textocomentario1"/>
    <w:next w:val="Textocomentario1"/>
    <w:rPr>
      <w:b/>
      <w:bCs/>
    </w:rPr>
  </w:style>
  <w:style w:type="paragraph" w:customStyle="1" w:styleId="Estilo1">
    <w:name w:val="Estilo1"/>
    <w:basedOn w:val="Normal"/>
    <w:pPr>
      <w:widowControl w:val="0"/>
    </w:pPr>
    <w:rPr>
      <w:rFonts w:ascii="Arial" w:eastAsia="Arial Unicode MS" w:hAnsi="Arial" w:cs="Times New Roman"/>
      <w:kern w:val="3"/>
      <w:sz w:val="24"/>
      <w:szCs w:val="24"/>
      <w:lang w:val="es"/>
    </w:rPr>
  </w:style>
  <w:style w:type="paragraph" w:styleId="Prrafodelista">
    <w:name w:val="List Paragraph"/>
    <w:aliases w:val="titulo 3,Viñetas,VIÑETA,Bolita,BOLA,MIBEX B,4.2.3.1.1,Párrafo de lista21,HOJA,Colorful List - Accent 11,Lista vistosa - Énfasis 11,BOLADEF,Guión,Viñeta 2,Titulo 8,Párrafo de lista31,ViÃ±eta 2,Párrafo de lista2,Párrafo de lista3"/>
    <w:basedOn w:val="Normal"/>
    <w:link w:val="PrrafodelistaCar"/>
    <w:uiPriority w:val="34"/>
    <w:qFormat/>
    <w:pPr>
      <w:ind w:left="720"/>
    </w:pPr>
    <w:rPr>
      <w:rFonts w:cs="Times New Roman"/>
      <w:lang w:val="es-CO" w:eastAsia="en-US"/>
    </w:rPr>
  </w:style>
  <w:style w:type="character" w:styleId="Refdenotaalpie">
    <w:name w:val="footnote reference"/>
    <w:aliases w:val="Ref. de nota al pie 2,Pie de Página,FC,Texto de nota al pie,Appel note de bas de page,Footnotes refss,Footnote number,referencia nota al pie,f,4_G,16 Point,Superscript 6 Point,Texto nota al pie,Texto de nota al pi,Pie de Pàgi"/>
    <w:basedOn w:val="Fuentedeprrafopredeter"/>
    <w:link w:val="Char2"/>
    <w:unhideWhenUsed/>
    <w:qFormat/>
    <w:rsid w:val="00A55ABF"/>
    <w:rPr>
      <w:vertAlign w:val="superscript"/>
    </w:rPr>
  </w:style>
  <w:style w:type="character" w:styleId="Mencinsinresolver">
    <w:name w:val="Unresolved Mention"/>
    <w:basedOn w:val="Fuentedeprrafopredeter"/>
    <w:uiPriority w:val="99"/>
    <w:semiHidden/>
    <w:unhideWhenUsed/>
    <w:rsid w:val="003E755D"/>
    <w:rPr>
      <w:color w:val="605E5C"/>
      <w:shd w:val="clear" w:color="auto" w:fill="E1DFDD"/>
    </w:rPr>
  </w:style>
  <w:style w:type="paragraph" w:styleId="Sinespaciado">
    <w:name w:val="No Spacing"/>
    <w:uiPriority w:val="1"/>
    <w:qFormat/>
    <w:rsid w:val="00D60153"/>
    <w:pPr>
      <w:suppressAutoHyphens/>
    </w:pPr>
    <w:rPr>
      <w:rFonts w:ascii="Calibri" w:eastAsia="Calibri" w:hAnsi="Calibri" w:cs="Calibri"/>
      <w:sz w:val="22"/>
      <w:szCs w:val="22"/>
      <w:lang w:val="es-ES" w:eastAsia="ar-SA"/>
    </w:rPr>
  </w:style>
  <w:style w:type="character" w:styleId="Refdecomentario">
    <w:name w:val="annotation reference"/>
    <w:basedOn w:val="Fuentedeprrafopredeter"/>
    <w:uiPriority w:val="99"/>
    <w:semiHidden/>
    <w:unhideWhenUsed/>
    <w:rsid w:val="00001F56"/>
    <w:rPr>
      <w:sz w:val="16"/>
      <w:szCs w:val="16"/>
    </w:rPr>
  </w:style>
  <w:style w:type="paragraph" w:styleId="Textocomentario">
    <w:name w:val="annotation text"/>
    <w:basedOn w:val="Normal"/>
    <w:link w:val="TextocomentarioCar1"/>
    <w:uiPriority w:val="99"/>
    <w:semiHidden/>
    <w:unhideWhenUsed/>
    <w:rsid w:val="00001F56"/>
    <w:rPr>
      <w:sz w:val="20"/>
      <w:szCs w:val="20"/>
    </w:rPr>
  </w:style>
  <w:style w:type="character" w:customStyle="1" w:styleId="TextocomentarioCar1">
    <w:name w:val="Texto comentario Car1"/>
    <w:basedOn w:val="Fuentedeprrafopredeter"/>
    <w:link w:val="Textocomentario"/>
    <w:uiPriority w:val="99"/>
    <w:semiHidden/>
    <w:rsid w:val="00001F56"/>
    <w:rPr>
      <w:rFonts w:ascii="Calibri" w:eastAsia="Calibri" w:hAnsi="Calibri" w:cs="Calibri"/>
      <w:lang w:val="es-ES" w:eastAsia="ar-SA"/>
    </w:rPr>
  </w:style>
  <w:style w:type="character" w:customStyle="1" w:styleId="TextonotapieCar1">
    <w:name w:val="Texto nota pie Car1"/>
    <w:aliases w:val="fn Car,footnote text Car,FOOTNOTES Car,single space Car,Char Char Car,Footnote Car,Car Car,Footnote Text Char Char Char Char Char Car,Footnote Text Char Char Char Char Car,Footnote reference Car,FA Fu Car,Footnote Text Char Car"/>
    <w:link w:val="Textonotapie"/>
    <w:qFormat/>
    <w:locked/>
    <w:rsid w:val="00E836C5"/>
    <w:rPr>
      <w:rFonts w:ascii="Calibri" w:eastAsia="Calibri" w:hAnsi="Calibri" w:cs="Calibri"/>
      <w:lang w:val="es-ES" w:eastAsia="ar-SA"/>
    </w:rPr>
  </w:style>
  <w:style w:type="character" w:customStyle="1" w:styleId="normaltextrun">
    <w:name w:val="normaltextrun"/>
    <w:basedOn w:val="Fuentedeprrafopredeter"/>
    <w:rsid w:val="00863F0D"/>
  </w:style>
  <w:style w:type="table" w:styleId="Tablaconcuadrcula">
    <w:name w:val="Table Grid"/>
    <w:basedOn w:val="Tablanormal"/>
    <w:uiPriority w:val="59"/>
    <w:rsid w:val="00CD035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A33"/>
    <w:rPr>
      <w:rFonts w:ascii="Times New Roman" w:hAnsi="Times New Roman" w:cs="Times New Roman"/>
      <w:sz w:val="24"/>
      <w:szCs w:val="24"/>
    </w:rPr>
  </w:style>
  <w:style w:type="paragraph" w:customStyle="1" w:styleId="Decretos">
    <w:name w:val="Decretos"/>
    <w:rsid w:val="007341A3"/>
    <w:pPr>
      <w:widowControl w:val="0"/>
      <w:tabs>
        <w:tab w:val="center" w:pos="510"/>
        <w:tab w:val="left" w:pos="1134"/>
      </w:tabs>
      <w:autoSpaceDE w:val="0"/>
      <w:adjustRightInd w:val="0"/>
      <w:spacing w:before="28" w:after="28" w:line="210" w:lineRule="atLeast"/>
      <w:ind w:firstLine="283"/>
      <w:jc w:val="both"/>
      <w:textAlignment w:val="auto"/>
    </w:pPr>
    <w:rPr>
      <w:color w:val="000000"/>
      <w:sz w:val="19"/>
      <w:szCs w:val="19"/>
      <w:lang w:val="es-ES" w:eastAsia="es-ES"/>
    </w:rPr>
  </w:style>
  <w:style w:type="character" w:customStyle="1" w:styleId="PrrafodelistaCar">
    <w:name w:val="Párrafo de lista Car"/>
    <w:aliases w:val="titulo 3 Car,Viñetas Car,VIÑETA Car,Bolita Car,BOLA Car,MIBEX B Car,4.2.3.1.1 Car,Párrafo de lista21 Car,HOJA Car,Colorful List - Accent 11 Car,Lista vistosa - Énfasis 11 Car,BOLADEF Car,Guión Car,Viñeta 2 Car,Titulo 8 Car"/>
    <w:link w:val="Prrafodelista"/>
    <w:uiPriority w:val="34"/>
    <w:qFormat/>
    <w:locked/>
    <w:rsid w:val="00596BFD"/>
    <w:rPr>
      <w:rFonts w:ascii="Calibri" w:eastAsia="Calibri" w:hAnsi="Calibri"/>
      <w:sz w:val="22"/>
      <w:szCs w:val="22"/>
      <w:lang w:eastAsia="en-US"/>
    </w:rPr>
  </w:style>
  <w:style w:type="paragraph" w:customStyle="1" w:styleId="Char2">
    <w:name w:val="Char2"/>
    <w:basedOn w:val="Normal"/>
    <w:link w:val="Refdenotaalpie"/>
    <w:rsid w:val="00596BFD"/>
    <w:pPr>
      <w:suppressAutoHyphens w:val="0"/>
      <w:autoSpaceDN/>
      <w:spacing w:after="160" w:line="240" w:lineRule="exact"/>
      <w:textAlignment w:val="auto"/>
    </w:pPr>
    <w:rPr>
      <w:rFonts w:ascii="Times New Roman" w:eastAsia="Times New Roman" w:hAnsi="Times New Roman" w:cs="Times New Roman"/>
      <w:sz w:val="20"/>
      <w:szCs w:val="20"/>
      <w:vertAlign w:val="superscript"/>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5832">
      <w:bodyDiv w:val="1"/>
      <w:marLeft w:val="0"/>
      <w:marRight w:val="0"/>
      <w:marTop w:val="0"/>
      <w:marBottom w:val="0"/>
      <w:divBdr>
        <w:top w:val="none" w:sz="0" w:space="0" w:color="auto"/>
        <w:left w:val="none" w:sz="0" w:space="0" w:color="auto"/>
        <w:bottom w:val="none" w:sz="0" w:space="0" w:color="auto"/>
        <w:right w:val="none" w:sz="0" w:space="0" w:color="auto"/>
      </w:divBdr>
    </w:div>
    <w:div w:id="113066675">
      <w:bodyDiv w:val="1"/>
      <w:marLeft w:val="0"/>
      <w:marRight w:val="0"/>
      <w:marTop w:val="0"/>
      <w:marBottom w:val="0"/>
      <w:divBdr>
        <w:top w:val="none" w:sz="0" w:space="0" w:color="auto"/>
        <w:left w:val="none" w:sz="0" w:space="0" w:color="auto"/>
        <w:bottom w:val="none" w:sz="0" w:space="0" w:color="auto"/>
        <w:right w:val="none" w:sz="0" w:space="0" w:color="auto"/>
      </w:divBdr>
    </w:div>
    <w:div w:id="141966776">
      <w:bodyDiv w:val="1"/>
      <w:marLeft w:val="0"/>
      <w:marRight w:val="0"/>
      <w:marTop w:val="0"/>
      <w:marBottom w:val="0"/>
      <w:divBdr>
        <w:top w:val="none" w:sz="0" w:space="0" w:color="auto"/>
        <w:left w:val="none" w:sz="0" w:space="0" w:color="auto"/>
        <w:bottom w:val="none" w:sz="0" w:space="0" w:color="auto"/>
        <w:right w:val="none" w:sz="0" w:space="0" w:color="auto"/>
      </w:divBdr>
    </w:div>
    <w:div w:id="153884818">
      <w:bodyDiv w:val="1"/>
      <w:marLeft w:val="0"/>
      <w:marRight w:val="0"/>
      <w:marTop w:val="0"/>
      <w:marBottom w:val="0"/>
      <w:divBdr>
        <w:top w:val="none" w:sz="0" w:space="0" w:color="auto"/>
        <w:left w:val="none" w:sz="0" w:space="0" w:color="auto"/>
        <w:bottom w:val="none" w:sz="0" w:space="0" w:color="auto"/>
        <w:right w:val="none" w:sz="0" w:space="0" w:color="auto"/>
      </w:divBdr>
    </w:div>
    <w:div w:id="390426272">
      <w:bodyDiv w:val="1"/>
      <w:marLeft w:val="0"/>
      <w:marRight w:val="0"/>
      <w:marTop w:val="0"/>
      <w:marBottom w:val="0"/>
      <w:divBdr>
        <w:top w:val="none" w:sz="0" w:space="0" w:color="auto"/>
        <w:left w:val="none" w:sz="0" w:space="0" w:color="auto"/>
        <w:bottom w:val="none" w:sz="0" w:space="0" w:color="auto"/>
        <w:right w:val="none" w:sz="0" w:space="0" w:color="auto"/>
      </w:divBdr>
    </w:div>
    <w:div w:id="433483394">
      <w:bodyDiv w:val="1"/>
      <w:marLeft w:val="0"/>
      <w:marRight w:val="0"/>
      <w:marTop w:val="0"/>
      <w:marBottom w:val="0"/>
      <w:divBdr>
        <w:top w:val="none" w:sz="0" w:space="0" w:color="auto"/>
        <w:left w:val="none" w:sz="0" w:space="0" w:color="auto"/>
        <w:bottom w:val="none" w:sz="0" w:space="0" w:color="auto"/>
        <w:right w:val="none" w:sz="0" w:space="0" w:color="auto"/>
      </w:divBdr>
    </w:div>
    <w:div w:id="446049222">
      <w:bodyDiv w:val="1"/>
      <w:marLeft w:val="0"/>
      <w:marRight w:val="0"/>
      <w:marTop w:val="0"/>
      <w:marBottom w:val="0"/>
      <w:divBdr>
        <w:top w:val="none" w:sz="0" w:space="0" w:color="auto"/>
        <w:left w:val="none" w:sz="0" w:space="0" w:color="auto"/>
        <w:bottom w:val="none" w:sz="0" w:space="0" w:color="auto"/>
        <w:right w:val="none" w:sz="0" w:space="0" w:color="auto"/>
      </w:divBdr>
    </w:div>
    <w:div w:id="489256857">
      <w:bodyDiv w:val="1"/>
      <w:marLeft w:val="0"/>
      <w:marRight w:val="0"/>
      <w:marTop w:val="0"/>
      <w:marBottom w:val="0"/>
      <w:divBdr>
        <w:top w:val="none" w:sz="0" w:space="0" w:color="auto"/>
        <w:left w:val="none" w:sz="0" w:space="0" w:color="auto"/>
        <w:bottom w:val="none" w:sz="0" w:space="0" w:color="auto"/>
        <w:right w:val="none" w:sz="0" w:space="0" w:color="auto"/>
      </w:divBdr>
    </w:div>
    <w:div w:id="583420291">
      <w:bodyDiv w:val="1"/>
      <w:marLeft w:val="0"/>
      <w:marRight w:val="0"/>
      <w:marTop w:val="0"/>
      <w:marBottom w:val="0"/>
      <w:divBdr>
        <w:top w:val="none" w:sz="0" w:space="0" w:color="auto"/>
        <w:left w:val="none" w:sz="0" w:space="0" w:color="auto"/>
        <w:bottom w:val="none" w:sz="0" w:space="0" w:color="auto"/>
        <w:right w:val="none" w:sz="0" w:space="0" w:color="auto"/>
      </w:divBdr>
      <w:divsChild>
        <w:div w:id="688987367">
          <w:marLeft w:val="0"/>
          <w:marRight w:val="0"/>
          <w:marTop w:val="0"/>
          <w:marBottom w:val="0"/>
          <w:divBdr>
            <w:top w:val="none" w:sz="0" w:space="0" w:color="auto"/>
            <w:left w:val="none" w:sz="0" w:space="0" w:color="auto"/>
            <w:bottom w:val="none" w:sz="0" w:space="0" w:color="auto"/>
            <w:right w:val="none" w:sz="0" w:space="0" w:color="auto"/>
          </w:divBdr>
        </w:div>
        <w:div w:id="930552722">
          <w:marLeft w:val="0"/>
          <w:marRight w:val="0"/>
          <w:marTop w:val="0"/>
          <w:marBottom w:val="0"/>
          <w:divBdr>
            <w:top w:val="none" w:sz="0" w:space="0" w:color="auto"/>
            <w:left w:val="none" w:sz="0" w:space="0" w:color="auto"/>
            <w:bottom w:val="none" w:sz="0" w:space="0" w:color="auto"/>
            <w:right w:val="none" w:sz="0" w:space="0" w:color="auto"/>
          </w:divBdr>
        </w:div>
        <w:div w:id="1339622294">
          <w:marLeft w:val="0"/>
          <w:marRight w:val="0"/>
          <w:marTop w:val="0"/>
          <w:marBottom w:val="0"/>
          <w:divBdr>
            <w:top w:val="none" w:sz="0" w:space="0" w:color="auto"/>
            <w:left w:val="none" w:sz="0" w:space="0" w:color="auto"/>
            <w:bottom w:val="none" w:sz="0" w:space="0" w:color="auto"/>
            <w:right w:val="none" w:sz="0" w:space="0" w:color="auto"/>
          </w:divBdr>
        </w:div>
        <w:div w:id="1371151007">
          <w:marLeft w:val="0"/>
          <w:marRight w:val="0"/>
          <w:marTop w:val="0"/>
          <w:marBottom w:val="0"/>
          <w:divBdr>
            <w:top w:val="none" w:sz="0" w:space="0" w:color="auto"/>
            <w:left w:val="none" w:sz="0" w:space="0" w:color="auto"/>
            <w:bottom w:val="none" w:sz="0" w:space="0" w:color="auto"/>
            <w:right w:val="none" w:sz="0" w:space="0" w:color="auto"/>
          </w:divBdr>
        </w:div>
        <w:div w:id="2027750074">
          <w:marLeft w:val="0"/>
          <w:marRight w:val="0"/>
          <w:marTop w:val="0"/>
          <w:marBottom w:val="0"/>
          <w:divBdr>
            <w:top w:val="none" w:sz="0" w:space="0" w:color="auto"/>
            <w:left w:val="none" w:sz="0" w:space="0" w:color="auto"/>
            <w:bottom w:val="none" w:sz="0" w:space="0" w:color="auto"/>
            <w:right w:val="none" w:sz="0" w:space="0" w:color="auto"/>
          </w:divBdr>
          <w:divsChild>
            <w:div w:id="22439529">
              <w:marLeft w:val="0"/>
              <w:marRight w:val="0"/>
              <w:marTop w:val="0"/>
              <w:marBottom w:val="0"/>
              <w:divBdr>
                <w:top w:val="none" w:sz="0" w:space="0" w:color="auto"/>
                <w:left w:val="none" w:sz="0" w:space="0" w:color="auto"/>
                <w:bottom w:val="none" w:sz="0" w:space="0" w:color="auto"/>
                <w:right w:val="none" w:sz="0" w:space="0" w:color="auto"/>
              </w:divBdr>
            </w:div>
            <w:div w:id="259218148">
              <w:marLeft w:val="0"/>
              <w:marRight w:val="0"/>
              <w:marTop w:val="0"/>
              <w:marBottom w:val="0"/>
              <w:divBdr>
                <w:top w:val="none" w:sz="0" w:space="0" w:color="auto"/>
                <w:left w:val="none" w:sz="0" w:space="0" w:color="auto"/>
                <w:bottom w:val="none" w:sz="0" w:space="0" w:color="auto"/>
                <w:right w:val="none" w:sz="0" w:space="0" w:color="auto"/>
              </w:divBdr>
            </w:div>
            <w:div w:id="623464541">
              <w:marLeft w:val="0"/>
              <w:marRight w:val="0"/>
              <w:marTop w:val="0"/>
              <w:marBottom w:val="0"/>
              <w:divBdr>
                <w:top w:val="none" w:sz="0" w:space="0" w:color="auto"/>
                <w:left w:val="none" w:sz="0" w:space="0" w:color="auto"/>
                <w:bottom w:val="none" w:sz="0" w:space="0" w:color="auto"/>
                <w:right w:val="none" w:sz="0" w:space="0" w:color="auto"/>
              </w:divBdr>
            </w:div>
            <w:div w:id="670642847">
              <w:marLeft w:val="0"/>
              <w:marRight w:val="0"/>
              <w:marTop w:val="0"/>
              <w:marBottom w:val="0"/>
              <w:divBdr>
                <w:top w:val="none" w:sz="0" w:space="0" w:color="auto"/>
                <w:left w:val="none" w:sz="0" w:space="0" w:color="auto"/>
                <w:bottom w:val="none" w:sz="0" w:space="0" w:color="auto"/>
                <w:right w:val="none" w:sz="0" w:space="0" w:color="auto"/>
              </w:divBdr>
            </w:div>
            <w:div w:id="1845851573">
              <w:marLeft w:val="0"/>
              <w:marRight w:val="0"/>
              <w:marTop w:val="0"/>
              <w:marBottom w:val="0"/>
              <w:divBdr>
                <w:top w:val="none" w:sz="0" w:space="0" w:color="auto"/>
                <w:left w:val="none" w:sz="0" w:space="0" w:color="auto"/>
                <w:bottom w:val="none" w:sz="0" w:space="0" w:color="auto"/>
                <w:right w:val="none" w:sz="0" w:space="0" w:color="auto"/>
              </w:divBdr>
            </w:div>
            <w:div w:id="1924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4431">
      <w:bodyDiv w:val="1"/>
      <w:marLeft w:val="0"/>
      <w:marRight w:val="0"/>
      <w:marTop w:val="0"/>
      <w:marBottom w:val="0"/>
      <w:divBdr>
        <w:top w:val="none" w:sz="0" w:space="0" w:color="auto"/>
        <w:left w:val="none" w:sz="0" w:space="0" w:color="auto"/>
        <w:bottom w:val="none" w:sz="0" w:space="0" w:color="auto"/>
        <w:right w:val="none" w:sz="0" w:space="0" w:color="auto"/>
      </w:divBdr>
      <w:divsChild>
        <w:div w:id="846869974">
          <w:marLeft w:val="0"/>
          <w:marRight w:val="0"/>
          <w:marTop w:val="0"/>
          <w:marBottom w:val="0"/>
          <w:divBdr>
            <w:top w:val="none" w:sz="0" w:space="0" w:color="auto"/>
            <w:left w:val="none" w:sz="0" w:space="0" w:color="auto"/>
            <w:bottom w:val="none" w:sz="0" w:space="0" w:color="auto"/>
            <w:right w:val="none" w:sz="0" w:space="0" w:color="auto"/>
          </w:divBdr>
        </w:div>
        <w:div w:id="1642225391">
          <w:marLeft w:val="0"/>
          <w:marRight w:val="0"/>
          <w:marTop w:val="0"/>
          <w:marBottom w:val="0"/>
          <w:divBdr>
            <w:top w:val="none" w:sz="0" w:space="0" w:color="auto"/>
            <w:left w:val="none" w:sz="0" w:space="0" w:color="auto"/>
            <w:bottom w:val="none" w:sz="0" w:space="0" w:color="auto"/>
            <w:right w:val="none" w:sz="0" w:space="0" w:color="auto"/>
          </w:divBdr>
        </w:div>
        <w:div w:id="1747416260">
          <w:marLeft w:val="0"/>
          <w:marRight w:val="0"/>
          <w:marTop w:val="0"/>
          <w:marBottom w:val="0"/>
          <w:divBdr>
            <w:top w:val="none" w:sz="0" w:space="0" w:color="auto"/>
            <w:left w:val="none" w:sz="0" w:space="0" w:color="auto"/>
            <w:bottom w:val="none" w:sz="0" w:space="0" w:color="auto"/>
            <w:right w:val="none" w:sz="0" w:space="0" w:color="auto"/>
          </w:divBdr>
        </w:div>
        <w:div w:id="2145846078">
          <w:marLeft w:val="0"/>
          <w:marRight w:val="0"/>
          <w:marTop w:val="0"/>
          <w:marBottom w:val="0"/>
          <w:divBdr>
            <w:top w:val="none" w:sz="0" w:space="0" w:color="auto"/>
            <w:left w:val="none" w:sz="0" w:space="0" w:color="auto"/>
            <w:bottom w:val="none" w:sz="0" w:space="0" w:color="auto"/>
            <w:right w:val="none" w:sz="0" w:space="0" w:color="auto"/>
          </w:divBdr>
        </w:div>
      </w:divsChild>
    </w:div>
    <w:div w:id="667559151">
      <w:bodyDiv w:val="1"/>
      <w:marLeft w:val="0"/>
      <w:marRight w:val="0"/>
      <w:marTop w:val="0"/>
      <w:marBottom w:val="0"/>
      <w:divBdr>
        <w:top w:val="none" w:sz="0" w:space="0" w:color="auto"/>
        <w:left w:val="none" w:sz="0" w:space="0" w:color="auto"/>
        <w:bottom w:val="none" w:sz="0" w:space="0" w:color="auto"/>
        <w:right w:val="none" w:sz="0" w:space="0" w:color="auto"/>
      </w:divBdr>
      <w:divsChild>
        <w:div w:id="156699473">
          <w:marLeft w:val="0"/>
          <w:marRight w:val="0"/>
          <w:marTop w:val="0"/>
          <w:marBottom w:val="0"/>
          <w:divBdr>
            <w:top w:val="none" w:sz="0" w:space="0" w:color="auto"/>
            <w:left w:val="none" w:sz="0" w:space="0" w:color="auto"/>
            <w:bottom w:val="none" w:sz="0" w:space="0" w:color="auto"/>
            <w:right w:val="none" w:sz="0" w:space="0" w:color="auto"/>
          </w:divBdr>
        </w:div>
        <w:div w:id="487674803">
          <w:marLeft w:val="0"/>
          <w:marRight w:val="0"/>
          <w:marTop w:val="0"/>
          <w:marBottom w:val="0"/>
          <w:divBdr>
            <w:top w:val="none" w:sz="0" w:space="0" w:color="auto"/>
            <w:left w:val="none" w:sz="0" w:space="0" w:color="auto"/>
            <w:bottom w:val="none" w:sz="0" w:space="0" w:color="auto"/>
            <w:right w:val="none" w:sz="0" w:space="0" w:color="auto"/>
          </w:divBdr>
        </w:div>
        <w:div w:id="928006815">
          <w:marLeft w:val="0"/>
          <w:marRight w:val="0"/>
          <w:marTop w:val="0"/>
          <w:marBottom w:val="0"/>
          <w:divBdr>
            <w:top w:val="none" w:sz="0" w:space="0" w:color="auto"/>
            <w:left w:val="none" w:sz="0" w:space="0" w:color="auto"/>
            <w:bottom w:val="none" w:sz="0" w:space="0" w:color="auto"/>
            <w:right w:val="none" w:sz="0" w:space="0" w:color="auto"/>
          </w:divBdr>
        </w:div>
        <w:div w:id="1108547737">
          <w:marLeft w:val="0"/>
          <w:marRight w:val="0"/>
          <w:marTop w:val="0"/>
          <w:marBottom w:val="0"/>
          <w:divBdr>
            <w:top w:val="none" w:sz="0" w:space="0" w:color="auto"/>
            <w:left w:val="none" w:sz="0" w:space="0" w:color="auto"/>
            <w:bottom w:val="none" w:sz="0" w:space="0" w:color="auto"/>
            <w:right w:val="none" w:sz="0" w:space="0" w:color="auto"/>
          </w:divBdr>
          <w:divsChild>
            <w:div w:id="487483762">
              <w:marLeft w:val="0"/>
              <w:marRight w:val="0"/>
              <w:marTop w:val="0"/>
              <w:marBottom w:val="0"/>
              <w:divBdr>
                <w:top w:val="none" w:sz="0" w:space="0" w:color="auto"/>
                <w:left w:val="none" w:sz="0" w:space="0" w:color="auto"/>
                <w:bottom w:val="none" w:sz="0" w:space="0" w:color="auto"/>
                <w:right w:val="none" w:sz="0" w:space="0" w:color="auto"/>
              </w:divBdr>
            </w:div>
            <w:div w:id="490101746">
              <w:marLeft w:val="0"/>
              <w:marRight w:val="0"/>
              <w:marTop w:val="0"/>
              <w:marBottom w:val="0"/>
              <w:divBdr>
                <w:top w:val="none" w:sz="0" w:space="0" w:color="auto"/>
                <w:left w:val="none" w:sz="0" w:space="0" w:color="auto"/>
                <w:bottom w:val="none" w:sz="0" w:space="0" w:color="auto"/>
                <w:right w:val="none" w:sz="0" w:space="0" w:color="auto"/>
              </w:divBdr>
            </w:div>
            <w:div w:id="720440386">
              <w:marLeft w:val="0"/>
              <w:marRight w:val="0"/>
              <w:marTop w:val="0"/>
              <w:marBottom w:val="0"/>
              <w:divBdr>
                <w:top w:val="none" w:sz="0" w:space="0" w:color="auto"/>
                <w:left w:val="none" w:sz="0" w:space="0" w:color="auto"/>
                <w:bottom w:val="none" w:sz="0" w:space="0" w:color="auto"/>
                <w:right w:val="none" w:sz="0" w:space="0" w:color="auto"/>
              </w:divBdr>
            </w:div>
            <w:div w:id="1293751041">
              <w:marLeft w:val="0"/>
              <w:marRight w:val="0"/>
              <w:marTop w:val="0"/>
              <w:marBottom w:val="0"/>
              <w:divBdr>
                <w:top w:val="none" w:sz="0" w:space="0" w:color="auto"/>
                <w:left w:val="none" w:sz="0" w:space="0" w:color="auto"/>
                <w:bottom w:val="none" w:sz="0" w:space="0" w:color="auto"/>
                <w:right w:val="none" w:sz="0" w:space="0" w:color="auto"/>
              </w:divBdr>
            </w:div>
            <w:div w:id="1543053339">
              <w:marLeft w:val="0"/>
              <w:marRight w:val="0"/>
              <w:marTop w:val="0"/>
              <w:marBottom w:val="0"/>
              <w:divBdr>
                <w:top w:val="none" w:sz="0" w:space="0" w:color="auto"/>
                <w:left w:val="none" w:sz="0" w:space="0" w:color="auto"/>
                <w:bottom w:val="none" w:sz="0" w:space="0" w:color="auto"/>
                <w:right w:val="none" w:sz="0" w:space="0" w:color="auto"/>
              </w:divBdr>
            </w:div>
            <w:div w:id="2102531241">
              <w:marLeft w:val="0"/>
              <w:marRight w:val="0"/>
              <w:marTop w:val="0"/>
              <w:marBottom w:val="0"/>
              <w:divBdr>
                <w:top w:val="none" w:sz="0" w:space="0" w:color="auto"/>
                <w:left w:val="none" w:sz="0" w:space="0" w:color="auto"/>
                <w:bottom w:val="none" w:sz="0" w:space="0" w:color="auto"/>
                <w:right w:val="none" w:sz="0" w:space="0" w:color="auto"/>
              </w:divBdr>
            </w:div>
          </w:divsChild>
        </w:div>
        <w:div w:id="1739785108">
          <w:marLeft w:val="0"/>
          <w:marRight w:val="0"/>
          <w:marTop w:val="0"/>
          <w:marBottom w:val="0"/>
          <w:divBdr>
            <w:top w:val="none" w:sz="0" w:space="0" w:color="auto"/>
            <w:left w:val="none" w:sz="0" w:space="0" w:color="auto"/>
            <w:bottom w:val="none" w:sz="0" w:space="0" w:color="auto"/>
            <w:right w:val="none" w:sz="0" w:space="0" w:color="auto"/>
          </w:divBdr>
        </w:div>
      </w:divsChild>
    </w:div>
    <w:div w:id="679089707">
      <w:bodyDiv w:val="1"/>
      <w:marLeft w:val="0"/>
      <w:marRight w:val="0"/>
      <w:marTop w:val="0"/>
      <w:marBottom w:val="0"/>
      <w:divBdr>
        <w:top w:val="none" w:sz="0" w:space="0" w:color="auto"/>
        <w:left w:val="none" w:sz="0" w:space="0" w:color="auto"/>
        <w:bottom w:val="none" w:sz="0" w:space="0" w:color="auto"/>
        <w:right w:val="none" w:sz="0" w:space="0" w:color="auto"/>
      </w:divBdr>
      <w:divsChild>
        <w:div w:id="302926364">
          <w:marLeft w:val="547"/>
          <w:marRight w:val="0"/>
          <w:marTop w:val="0"/>
          <w:marBottom w:val="0"/>
          <w:divBdr>
            <w:top w:val="none" w:sz="0" w:space="0" w:color="auto"/>
            <w:left w:val="none" w:sz="0" w:space="0" w:color="auto"/>
            <w:bottom w:val="none" w:sz="0" w:space="0" w:color="auto"/>
            <w:right w:val="none" w:sz="0" w:space="0" w:color="auto"/>
          </w:divBdr>
        </w:div>
      </w:divsChild>
    </w:div>
    <w:div w:id="718633348">
      <w:bodyDiv w:val="1"/>
      <w:marLeft w:val="0"/>
      <w:marRight w:val="0"/>
      <w:marTop w:val="0"/>
      <w:marBottom w:val="0"/>
      <w:divBdr>
        <w:top w:val="none" w:sz="0" w:space="0" w:color="auto"/>
        <w:left w:val="none" w:sz="0" w:space="0" w:color="auto"/>
        <w:bottom w:val="none" w:sz="0" w:space="0" w:color="auto"/>
        <w:right w:val="none" w:sz="0" w:space="0" w:color="auto"/>
      </w:divBdr>
    </w:div>
    <w:div w:id="741175953">
      <w:bodyDiv w:val="1"/>
      <w:marLeft w:val="0"/>
      <w:marRight w:val="0"/>
      <w:marTop w:val="0"/>
      <w:marBottom w:val="0"/>
      <w:divBdr>
        <w:top w:val="none" w:sz="0" w:space="0" w:color="auto"/>
        <w:left w:val="none" w:sz="0" w:space="0" w:color="auto"/>
        <w:bottom w:val="none" w:sz="0" w:space="0" w:color="auto"/>
        <w:right w:val="none" w:sz="0" w:space="0" w:color="auto"/>
      </w:divBdr>
      <w:divsChild>
        <w:div w:id="861481644">
          <w:marLeft w:val="547"/>
          <w:marRight w:val="0"/>
          <w:marTop w:val="0"/>
          <w:marBottom w:val="0"/>
          <w:divBdr>
            <w:top w:val="none" w:sz="0" w:space="0" w:color="auto"/>
            <w:left w:val="none" w:sz="0" w:space="0" w:color="auto"/>
            <w:bottom w:val="none" w:sz="0" w:space="0" w:color="auto"/>
            <w:right w:val="none" w:sz="0" w:space="0" w:color="auto"/>
          </w:divBdr>
        </w:div>
      </w:divsChild>
    </w:div>
    <w:div w:id="762071092">
      <w:bodyDiv w:val="1"/>
      <w:marLeft w:val="0"/>
      <w:marRight w:val="0"/>
      <w:marTop w:val="0"/>
      <w:marBottom w:val="0"/>
      <w:divBdr>
        <w:top w:val="none" w:sz="0" w:space="0" w:color="auto"/>
        <w:left w:val="none" w:sz="0" w:space="0" w:color="auto"/>
        <w:bottom w:val="none" w:sz="0" w:space="0" w:color="auto"/>
        <w:right w:val="none" w:sz="0" w:space="0" w:color="auto"/>
      </w:divBdr>
      <w:divsChild>
        <w:div w:id="738864284">
          <w:marLeft w:val="0"/>
          <w:marRight w:val="0"/>
          <w:marTop w:val="0"/>
          <w:marBottom w:val="0"/>
          <w:divBdr>
            <w:top w:val="none" w:sz="0" w:space="0" w:color="auto"/>
            <w:left w:val="none" w:sz="0" w:space="0" w:color="auto"/>
            <w:bottom w:val="none" w:sz="0" w:space="0" w:color="auto"/>
            <w:right w:val="none" w:sz="0" w:space="0" w:color="auto"/>
          </w:divBdr>
        </w:div>
        <w:div w:id="1312052781">
          <w:marLeft w:val="0"/>
          <w:marRight w:val="0"/>
          <w:marTop w:val="0"/>
          <w:marBottom w:val="0"/>
          <w:divBdr>
            <w:top w:val="none" w:sz="0" w:space="0" w:color="auto"/>
            <w:left w:val="none" w:sz="0" w:space="0" w:color="auto"/>
            <w:bottom w:val="none" w:sz="0" w:space="0" w:color="auto"/>
            <w:right w:val="none" w:sz="0" w:space="0" w:color="auto"/>
          </w:divBdr>
        </w:div>
        <w:div w:id="1559627534">
          <w:marLeft w:val="0"/>
          <w:marRight w:val="0"/>
          <w:marTop w:val="0"/>
          <w:marBottom w:val="0"/>
          <w:divBdr>
            <w:top w:val="none" w:sz="0" w:space="0" w:color="auto"/>
            <w:left w:val="none" w:sz="0" w:space="0" w:color="auto"/>
            <w:bottom w:val="none" w:sz="0" w:space="0" w:color="auto"/>
            <w:right w:val="none" w:sz="0" w:space="0" w:color="auto"/>
          </w:divBdr>
        </w:div>
        <w:div w:id="2100251829">
          <w:marLeft w:val="0"/>
          <w:marRight w:val="0"/>
          <w:marTop w:val="0"/>
          <w:marBottom w:val="0"/>
          <w:divBdr>
            <w:top w:val="none" w:sz="0" w:space="0" w:color="auto"/>
            <w:left w:val="none" w:sz="0" w:space="0" w:color="auto"/>
            <w:bottom w:val="none" w:sz="0" w:space="0" w:color="auto"/>
            <w:right w:val="none" w:sz="0" w:space="0" w:color="auto"/>
          </w:divBdr>
        </w:div>
      </w:divsChild>
    </w:div>
    <w:div w:id="786126211">
      <w:bodyDiv w:val="1"/>
      <w:marLeft w:val="0"/>
      <w:marRight w:val="0"/>
      <w:marTop w:val="0"/>
      <w:marBottom w:val="0"/>
      <w:divBdr>
        <w:top w:val="none" w:sz="0" w:space="0" w:color="auto"/>
        <w:left w:val="none" w:sz="0" w:space="0" w:color="auto"/>
        <w:bottom w:val="none" w:sz="0" w:space="0" w:color="auto"/>
        <w:right w:val="none" w:sz="0" w:space="0" w:color="auto"/>
      </w:divBdr>
    </w:div>
    <w:div w:id="898982908">
      <w:bodyDiv w:val="1"/>
      <w:marLeft w:val="0"/>
      <w:marRight w:val="0"/>
      <w:marTop w:val="0"/>
      <w:marBottom w:val="0"/>
      <w:divBdr>
        <w:top w:val="none" w:sz="0" w:space="0" w:color="auto"/>
        <w:left w:val="none" w:sz="0" w:space="0" w:color="auto"/>
        <w:bottom w:val="none" w:sz="0" w:space="0" w:color="auto"/>
        <w:right w:val="none" w:sz="0" w:space="0" w:color="auto"/>
      </w:divBdr>
    </w:div>
    <w:div w:id="1033461266">
      <w:bodyDiv w:val="1"/>
      <w:marLeft w:val="0"/>
      <w:marRight w:val="0"/>
      <w:marTop w:val="0"/>
      <w:marBottom w:val="0"/>
      <w:divBdr>
        <w:top w:val="none" w:sz="0" w:space="0" w:color="auto"/>
        <w:left w:val="none" w:sz="0" w:space="0" w:color="auto"/>
        <w:bottom w:val="none" w:sz="0" w:space="0" w:color="auto"/>
        <w:right w:val="none" w:sz="0" w:space="0" w:color="auto"/>
      </w:divBdr>
      <w:divsChild>
        <w:div w:id="7560584">
          <w:marLeft w:val="547"/>
          <w:marRight w:val="0"/>
          <w:marTop w:val="0"/>
          <w:marBottom w:val="0"/>
          <w:divBdr>
            <w:top w:val="none" w:sz="0" w:space="0" w:color="auto"/>
            <w:left w:val="none" w:sz="0" w:space="0" w:color="auto"/>
            <w:bottom w:val="none" w:sz="0" w:space="0" w:color="auto"/>
            <w:right w:val="none" w:sz="0" w:space="0" w:color="auto"/>
          </w:divBdr>
        </w:div>
      </w:divsChild>
    </w:div>
    <w:div w:id="1065448575">
      <w:bodyDiv w:val="1"/>
      <w:marLeft w:val="0"/>
      <w:marRight w:val="0"/>
      <w:marTop w:val="0"/>
      <w:marBottom w:val="0"/>
      <w:divBdr>
        <w:top w:val="none" w:sz="0" w:space="0" w:color="auto"/>
        <w:left w:val="none" w:sz="0" w:space="0" w:color="auto"/>
        <w:bottom w:val="none" w:sz="0" w:space="0" w:color="auto"/>
        <w:right w:val="none" w:sz="0" w:space="0" w:color="auto"/>
      </w:divBdr>
    </w:div>
    <w:div w:id="1090349588">
      <w:bodyDiv w:val="1"/>
      <w:marLeft w:val="0"/>
      <w:marRight w:val="0"/>
      <w:marTop w:val="0"/>
      <w:marBottom w:val="0"/>
      <w:divBdr>
        <w:top w:val="none" w:sz="0" w:space="0" w:color="auto"/>
        <w:left w:val="none" w:sz="0" w:space="0" w:color="auto"/>
        <w:bottom w:val="none" w:sz="0" w:space="0" w:color="auto"/>
        <w:right w:val="none" w:sz="0" w:space="0" w:color="auto"/>
      </w:divBdr>
    </w:div>
    <w:div w:id="1299190774">
      <w:bodyDiv w:val="1"/>
      <w:marLeft w:val="0"/>
      <w:marRight w:val="0"/>
      <w:marTop w:val="0"/>
      <w:marBottom w:val="0"/>
      <w:divBdr>
        <w:top w:val="none" w:sz="0" w:space="0" w:color="auto"/>
        <w:left w:val="none" w:sz="0" w:space="0" w:color="auto"/>
        <w:bottom w:val="none" w:sz="0" w:space="0" w:color="auto"/>
        <w:right w:val="none" w:sz="0" w:space="0" w:color="auto"/>
      </w:divBdr>
      <w:divsChild>
        <w:div w:id="2138453121">
          <w:marLeft w:val="547"/>
          <w:marRight w:val="0"/>
          <w:marTop w:val="0"/>
          <w:marBottom w:val="0"/>
          <w:divBdr>
            <w:top w:val="none" w:sz="0" w:space="0" w:color="auto"/>
            <w:left w:val="none" w:sz="0" w:space="0" w:color="auto"/>
            <w:bottom w:val="none" w:sz="0" w:space="0" w:color="auto"/>
            <w:right w:val="none" w:sz="0" w:space="0" w:color="auto"/>
          </w:divBdr>
        </w:div>
      </w:divsChild>
    </w:div>
    <w:div w:id="1376272667">
      <w:bodyDiv w:val="1"/>
      <w:marLeft w:val="0"/>
      <w:marRight w:val="0"/>
      <w:marTop w:val="0"/>
      <w:marBottom w:val="0"/>
      <w:divBdr>
        <w:top w:val="none" w:sz="0" w:space="0" w:color="auto"/>
        <w:left w:val="none" w:sz="0" w:space="0" w:color="auto"/>
        <w:bottom w:val="none" w:sz="0" w:space="0" w:color="auto"/>
        <w:right w:val="none" w:sz="0" w:space="0" w:color="auto"/>
      </w:divBdr>
    </w:div>
    <w:div w:id="1465923759">
      <w:bodyDiv w:val="1"/>
      <w:marLeft w:val="0"/>
      <w:marRight w:val="0"/>
      <w:marTop w:val="0"/>
      <w:marBottom w:val="0"/>
      <w:divBdr>
        <w:top w:val="none" w:sz="0" w:space="0" w:color="auto"/>
        <w:left w:val="none" w:sz="0" w:space="0" w:color="auto"/>
        <w:bottom w:val="none" w:sz="0" w:space="0" w:color="auto"/>
        <w:right w:val="none" w:sz="0" w:space="0" w:color="auto"/>
      </w:divBdr>
      <w:divsChild>
        <w:div w:id="349845200">
          <w:marLeft w:val="547"/>
          <w:marRight w:val="0"/>
          <w:marTop w:val="0"/>
          <w:marBottom w:val="0"/>
          <w:divBdr>
            <w:top w:val="none" w:sz="0" w:space="0" w:color="auto"/>
            <w:left w:val="none" w:sz="0" w:space="0" w:color="auto"/>
            <w:bottom w:val="none" w:sz="0" w:space="0" w:color="auto"/>
            <w:right w:val="none" w:sz="0" w:space="0" w:color="auto"/>
          </w:divBdr>
        </w:div>
      </w:divsChild>
    </w:div>
    <w:div w:id="1468276383">
      <w:bodyDiv w:val="1"/>
      <w:marLeft w:val="0"/>
      <w:marRight w:val="0"/>
      <w:marTop w:val="0"/>
      <w:marBottom w:val="0"/>
      <w:divBdr>
        <w:top w:val="none" w:sz="0" w:space="0" w:color="auto"/>
        <w:left w:val="none" w:sz="0" w:space="0" w:color="auto"/>
        <w:bottom w:val="none" w:sz="0" w:space="0" w:color="auto"/>
        <w:right w:val="none" w:sz="0" w:space="0" w:color="auto"/>
      </w:divBdr>
      <w:divsChild>
        <w:div w:id="225190118">
          <w:marLeft w:val="0"/>
          <w:marRight w:val="0"/>
          <w:marTop w:val="0"/>
          <w:marBottom w:val="0"/>
          <w:divBdr>
            <w:top w:val="none" w:sz="0" w:space="0" w:color="auto"/>
            <w:left w:val="none" w:sz="0" w:space="0" w:color="auto"/>
            <w:bottom w:val="none" w:sz="0" w:space="0" w:color="auto"/>
            <w:right w:val="none" w:sz="0" w:space="0" w:color="auto"/>
          </w:divBdr>
        </w:div>
        <w:div w:id="534735234">
          <w:marLeft w:val="0"/>
          <w:marRight w:val="0"/>
          <w:marTop w:val="0"/>
          <w:marBottom w:val="0"/>
          <w:divBdr>
            <w:top w:val="none" w:sz="0" w:space="0" w:color="auto"/>
            <w:left w:val="none" w:sz="0" w:space="0" w:color="auto"/>
            <w:bottom w:val="none" w:sz="0" w:space="0" w:color="auto"/>
            <w:right w:val="none" w:sz="0" w:space="0" w:color="auto"/>
          </w:divBdr>
        </w:div>
        <w:div w:id="742415968">
          <w:marLeft w:val="0"/>
          <w:marRight w:val="0"/>
          <w:marTop w:val="0"/>
          <w:marBottom w:val="0"/>
          <w:divBdr>
            <w:top w:val="none" w:sz="0" w:space="0" w:color="auto"/>
            <w:left w:val="none" w:sz="0" w:space="0" w:color="auto"/>
            <w:bottom w:val="none" w:sz="0" w:space="0" w:color="auto"/>
            <w:right w:val="none" w:sz="0" w:space="0" w:color="auto"/>
          </w:divBdr>
        </w:div>
      </w:divsChild>
    </w:div>
    <w:div w:id="1526090355">
      <w:bodyDiv w:val="1"/>
      <w:marLeft w:val="0"/>
      <w:marRight w:val="0"/>
      <w:marTop w:val="0"/>
      <w:marBottom w:val="0"/>
      <w:divBdr>
        <w:top w:val="none" w:sz="0" w:space="0" w:color="auto"/>
        <w:left w:val="none" w:sz="0" w:space="0" w:color="auto"/>
        <w:bottom w:val="none" w:sz="0" w:space="0" w:color="auto"/>
        <w:right w:val="none" w:sz="0" w:space="0" w:color="auto"/>
      </w:divBdr>
      <w:divsChild>
        <w:div w:id="1373769518">
          <w:marLeft w:val="0"/>
          <w:marRight w:val="0"/>
          <w:marTop w:val="0"/>
          <w:marBottom w:val="0"/>
          <w:divBdr>
            <w:top w:val="none" w:sz="0" w:space="0" w:color="auto"/>
            <w:left w:val="none" w:sz="0" w:space="0" w:color="auto"/>
            <w:bottom w:val="none" w:sz="0" w:space="0" w:color="auto"/>
            <w:right w:val="none" w:sz="0" w:space="0" w:color="auto"/>
          </w:divBdr>
        </w:div>
        <w:div w:id="1437795691">
          <w:marLeft w:val="0"/>
          <w:marRight w:val="0"/>
          <w:marTop w:val="0"/>
          <w:marBottom w:val="0"/>
          <w:divBdr>
            <w:top w:val="none" w:sz="0" w:space="0" w:color="auto"/>
            <w:left w:val="none" w:sz="0" w:space="0" w:color="auto"/>
            <w:bottom w:val="none" w:sz="0" w:space="0" w:color="auto"/>
            <w:right w:val="none" w:sz="0" w:space="0" w:color="auto"/>
          </w:divBdr>
        </w:div>
        <w:div w:id="1999841825">
          <w:marLeft w:val="0"/>
          <w:marRight w:val="0"/>
          <w:marTop w:val="0"/>
          <w:marBottom w:val="0"/>
          <w:divBdr>
            <w:top w:val="none" w:sz="0" w:space="0" w:color="auto"/>
            <w:left w:val="none" w:sz="0" w:space="0" w:color="auto"/>
            <w:bottom w:val="none" w:sz="0" w:space="0" w:color="auto"/>
            <w:right w:val="none" w:sz="0" w:space="0" w:color="auto"/>
          </w:divBdr>
        </w:div>
      </w:divsChild>
    </w:div>
    <w:div w:id="1565411143">
      <w:bodyDiv w:val="1"/>
      <w:marLeft w:val="0"/>
      <w:marRight w:val="0"/>
      <w:marTop w:val="0"/>
      <w:marBottom w:val="0"/>
      <w:divBdr>
        <w:top w:val="none" w:sz="0" w:space="0" w:color="auto"/>
        <w:left w:val="none" w:sz="0" w:space="0" w:color="auto"/>
        <w:bottom w:val="none" w:sz="0" w:space="0" w:color="auto"/>
        <w:right w:val="none" w:sz="0" w:space="0" w:color="auto"/>
      </w:divBdr>
    </w:div>
    <w:div w:id="1654068505">
      <w:bodyDiv w:val="1"/>
      <w:marLeft w:val="0"/>
      <w:marRight w:val="0"/>
      <w:marTop w:val="0"/>
      <w:marBottom w:val="0"/>
      <w:divBdr>
        <w:top w:val="none" w:sz="0" w:space="0" w:color="auto"/>
        <w:left w:val="none" w:sz="0" w:space="0" w:color="auto"/>
        <w:bottom w:val="none" w:sz="0" w:space="0" w:color="auto"/>
        <w:right w:val="none" w:sz="0" w:space="0" w:color="auto"/>
      </w:divBdr>
    </w:div>
    <w:div w:id="1671568423">
      <w:bodyDiv w:val="1"/>
      <w:marLeft w:val="0"/>
      <w:marRight w:val="0"/>
      <w:marTop w:val="0"/>
      <w:marBottom w:val="0"/>
      <w:divBdr>
        <w:top w:val="none" w:sz="0" w:space="0" w:color="auto"/>
        <w:left w:val="none" w:sz="0" w:space="0" w:color="auto"/>
        <w:bottom w:val="none" w:sz="0" w:space="0" w:color="auto"/>
        <w:right w:val="none" w:sz="0" w:space="0" w:color="auto"/>
      </w:divBdr>
    </w:div>
    <w:div w:id="1769959219">
      <w:bodyDiv w:val="1"/>
      <w:marLeft w:val="0"/>
      <w:marRight w:val="0"/>
      <w:marTop w:val="0"/>
      <w:marBottom w:val="0"/>
      <w:divBdr>
        <w:top w:val="none" w:sz="0" w:space="0" w:color="auto"/>
        <w:left w:val="none" w:sz="0" w:space="0" w:color="auto"/>
        <w:bottom w:val="none" w:sz="0" w:space="0" w:color="auto"/>
        <w:right w:val="none" w:sz="0" w:space="0" w:color="auto"/>
      </w:divBdr>
    </w:div>
    <w:div w:id="1984579465">
      <w:bodyDiv w:val="1"/>
      <w:marLeft w:val="0"/>
      <w:marRight w:val="0"/>
      <w:marTop w:val="0"/>
      <w:marBottom w:val="0"/>
      <w:divBdr>
        <w:top w:val="none" w:sz="0" w:space="0" w:color="auto"/>
        <w:left w:val="none" w:sz="0" w:space="0" w:color="auto"/>
        <w:bottom w:val="none" w:sz="0" w:space="0" w:color="auto"/>
        <w:right w:val="none" w:sz="0" w:space="0" w:color="auto"/>
      </w:divBdr>
    </w:div>
    <w:div w:id="2012678635">
      <w:bodyDiv w:val="1"/>
      <w:marLeft w:val="0"/>
      <w:marRight w:val="0"/>
      <w:marTop w:val="0"/>
      <w:marBottom w:val="0"/>
      <w:divBdr>
        <w:top w:val="none" w:sz="0" w:space="0" w:color="auto"/>
        <w:left w:val="none" w:sz="0" w:space="0" w:color="auto"/>
        <w:bottom w:val="none" w:sz="0" w:space="0" w:color="auto"/>
        <w:right w:val="none" w:sz="0" w:space="0" w:color="auto"/>
      </w:divBdr>
    </w:div>
    <w:div w:id="2040543614">
      <w:bodyDiv w:val="1"/>
      <w:marLeft w:val="0"/>
      <w:marRight w:val="0"/>
      <w:marTop w:val="0"/>
      <w:marBottom w:val="0"/>
      <w:divBdr>
        <w:top w:val="none" w:sz="0" w:space="0" w:color="auto"/>
        <w:left w:val="none" w:sz="0" w:space="0" w:color="auto"/>
        <w:bottom w:val="none" w:sz="0" w:space="0" w:color="auto"/>
        <w:right w:val="none" w:sz="0" w:space="0" w:color="auto"/>
      </w:divBdr>
      <w:divsChild>
        <w:div w:id="411974777">
          <w:marLeft w:val="547"/>
          <w:marRight w:val="0"/>
          <w:marTop w:val="0"/>
          <w:marBottom w:val="0"/>
          <w:divBdr>
            <w:top w:val="none" w:sz="0" w:space="0" w:color="auto"/>
            <w:left w:val="none" w:sz="0" w:space="0" w:color="auto"/>
            <w:bottom w:val="none" w:sz="0" w:space="0" w:color="auto"/>
            <w:right w:val="none" w:sz="0" w:space="0" w:color="auto"/>
          </w:divBdr>
        </w:div>
      </w:divsChild>
    </w:div>
    <w:div w:id="2093816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c3cce-6c31-4f1f-b54e-e7c442e692b0" xsi:nil="true"/>
    <lcf76f155ced4ddcb4097134ff3c332f xmlns="0c3ff982-b687-4eb5-9a04-fd6efaf5d5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6E0F052F7D8D049BB205D4AAC80D1CC" ma:contentTypeVersion="18" ma:contentTypeDescription="Crear nuevo documento." ma:contentTypeScope="" ma:versionID="a48740ecdc503a6a80debe7be60a92a3">
  <xsd:schema xmlns:xsd="http://www.w3.org/2001/XMLSchema" xmlns:xs="http://www.w3.org/2001/XMLSchema" xmlns:p="http://schemas.microsoft.com/office/2006/metadata/properties" xmlns:ns2="0c3ff982-b687-4eb5-9a04-fd6efaf5d504" xmlns:ns3="ae0c3cce-6c31-4f1f-b54e-e7c442e692b0" targetNamespace="http://schemas.microsoft.com/office/2006/metadata/properties" ma:root="true" ma:fieldsID="c7560ae8be71a752f282334a663107ae" ns2:_="" ns3:_="">
    <xsd:import namespace="0c3ff982-b687-4eb5-9a04-fd6efaf5d504"/>
    <xsd:import namespace="ae0c3cce-6c31-4f1f-b54e-e7c442e692b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ff982-b687-4eb5-9a04-fd6efaf5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3912e655-385c-46bd-b52b-7c1134c9353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c3cce-6c31-4f1f-b54e-e7c442e692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963f1d6-81ba-41f1-a10f-a01c4f40578d}" ma:internalName="TaxCatchAll" ma:showField="CatchAllData" ma:web="ae0c3cce-6c31-4f1f-b54e-e7c442e692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3FA1E-4EFD-44EF-A43F-E8CEEC848241}">
  <ds:schemaRefs>
    <ds:schemaRef ds:uri="http://schemas.openxmlformats.org/officeDocument/2006/bibliography"/>
  </ds:schemaRefs>
</ds:datastoreItem>
</file>

<file path=customXml/itemProps2.xml><?xml version="1.0" encoding="utf-8"?>
<ds:datastoreItem xmlns:ds="http://schemas.openxmlformats.org/officeDocument/2006/customXml" ds:itemID="{BE3E9932-0592-4BD1-A80E-D4F03185C995}">
  <ds:schemaRefs>
    <ds:schemaRef ds:uri="http://schemas.microsoft.com/sharepoint/v3/contenttype/forms"/>
  </ds:schemaRefs>
</ds:datastoreItem>
</file>

<file path=customXml/itemProps3.xml><?xml version="1.0" encoding="utf-8"?>
<ds:datastoreItem xmlns:ds="http://schemas.openxmlformats.org/officeDocument/2006/customXml" ds:itemID="{F4A7DEB4-3934-4B03-9D04-0AFCA7D2D3BE}">
  <ds:schemaRefs>
    <ds:schemaRef ds:uri="http://schemas.microsoft.com/office/2006/metadata/properties"/>
    <ds:schemaRef ds:uri="http://schemas.microsoft.com/office/infopath/2007/PartnerControls"/>
    <ds:schemaRef ds:uri="ae0c3cce-6c31-4f1f-b54e-e7c442e692b0"/>
    <ds:schemaRef ds:uri="0c3ff982-b687-4eb5-9a04-fd6efaf5d504"/>
  </ds:schemaRefs>
</ds:datastoreItem>
</file>

<file path=customXml/itemProps4.xml><?xml version="1.0" encoding="utf-8"?>
<ds:datastoreItem xmlns:ds="http://schemas.openxmlformats.org/officeDocument/2006/customXml" ds:itemID="{283E00FB-6AAB-476E-81F3-44AE8405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ff982-b687-4eb5-9a04-fd6efaf5d504"/>
    <ds:schemaRef ds:uri="ae0c3cce-6c31-4f1f-b54e-e7c442e69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Template>
  <TotalTime>36</TotalTime>
  <Pages>7</Pages>
  <Words>2443</Words>
  <Characters>13439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Preferred Customer</dc:creator>
  <cp:keywords/>
  <dc:description/>
  <cp:lastModifiedBy>Dalix Yesblaidy Gutierrez Fuentes</cp:lastModifiedBy>
  <cp:revision>28</cp:revision>
  <cp:lastPrinted>2013-02-22T16:19:00Z</cp:lastPrinted>
  <dcterms:created xsi:type="dcterms:W3CDTF">2026-06-24T20:06:00Z</dcterms:created>
  <dcterms:modified xsi:type="dcterms:W3CDTF">2026-06-24T20:40:00Z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0x010100B6E0F052F7D8D049BB205D4AAC80D1CC</vt:lpwstr>
  </property>
  <property fmtid="{D5CDD505-2E9C-101B-9397-08002B2CF9AE}" pid="3" name="Order">
    <vt:r8>86600</vt:r8>
  </property>
  <property fmtid="{D5CDD505-2E9C-101B-9397-08002B2CF9AE}" pid="4" name="MediaServiceImageTags">
    <vt:lpwstr/>
  </property>
</Properties>
</file>